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EAEA" w14:textId="77777777" w:rsidR="009E52E2" w:rsidRDefault="009E52E2">
      <w:pPr>
        <w:pStyle w:val="Corpodetexto"/>
        <w:spacing w:before="3"/>
        <w:rPr>
          <w:rFonts w:ascii="Times New Roman"/>
          <w:sz w:val="22"/>
        </w:rPr>
      </w:pPr>
    </w:p>
    <w:p w14:paraId="5CC3E38E" w14:textId="77777777" w:rsidR="009E52E2" w:rsidRPr="00237072" w:rsidRDefault="00736F06">
      <w:pPr>
        <w:pStyle w:val="Ttulo1"/>
        <w:spacing w:before="47"/>
        <w:ind w:left="2431" w:right="2438"/>
        <w:jc w:val="center"/>
        <w:rPr>
          <w:rFonts w:ascii="Arial" w:hAnsi="Arial" w:cs="Arial"/>
        </w:rPr>
      </w:pPr>
      <w:bookmarkStart w:id="0" w:name="1265c56403ad552e163c97c04b436887cc1a656c"/>
      <w:bookmarkEnd w:id="0"/>
      <w:r w:rsidRPr="00237072">
        <w:rPr>
          <w:rFonts w:ascii="Arial" w:hAnsi="Arial" w:cs="Arial"/>
        </w:rPr>
        <w:t>ANEXO</w:t>
      </w:r>
      <w:r w:rsidRPr="00237072">
        <w:rPr>
          <w:rFonts w:ascii="Arial" w:hAnsi="Arial" w:cs="Arial"/>
          <w:spacing w:val="1"/>
        </w:rPr>
        <w:t xml:space="preserve"> </w:t>
      </w:r>
      <w:r w:rsidRPr="00237072">
        <w:rPr>
          <w:rFonts w:ascii="Arial" w:hAnsi="Arial" w:cs="Arial"/>
        </w:rPr>
        <w:t>I</w:t>
      </w:r>
    </w:p>
    <w:p w14:paraId="61FDA28A" w14:textId="77777777" w:rsidR="009E52E2" w:rsidRPr="00237072" w:rsidRDefault="009E52E2">
      <w:pPr>
        <w:pStyle w:val="Corpodetexto"/>
        <w:rPr>
          <w:rFonts w:ascii="Arial" w:hAnsi="Arial" w:cs="Arial"/>
          <w:b/>
        </w:rPr>
      </w:pPr>
    </w:p>
    <w:p w14:paraId="42941852" w14:textId="77777777" w:rsidR="00237072" w:rsidRPr="00237072" w:rsidRDefault="00237072" w:rsidP="00237072">
      <w:pPr>
        <w:widowControl/>
        <w:autoSpaceDE/>
        <w:autoSpaceDN/>
        <w:spacing w:before="240" w:line="276" w:lineRule="auto"/>
        <w:jc w:val="center"/>
        <w:rPr>
          <w:rFonts w:ascii="Arial" w:hAnsi="Arial" w:cs="Arial"/>
          <w:b/>
          <w:sz w:val="24"/>
          <w:szCs w:val="24"/>
          <w:lang w:val="pt-BR" w:eastAsia="pt-BR"/>
        </w:rPr>
      </w:pPr>
      <w:r w:rsidRPr="00237072">
        <w:rPr>
          <w:rFonts w:ascii="Arial" w:hAnsi="Arial" w:cs="Arial"/>
          <w:b/>
          <w:sz w:val="24"/>
          <w:szCs w:val="24"/>
          <w:lang w:val="pt-BR" w:eastAsia="pt-BR"/>
        </w:rPr>
        <w:t>DEMAIS ÁREAS CULTURAIS</w:t>
      </w:r>
    </w:p>
    <w:p w14:paraId="4675E7EB" w14:textId="48C780DF" w:rsidR="00237072" w:rsidRPr="00237072" w:rsidRDefault="00237072" w:rsidP="00237072">
      <w:pPr>
        <w:widowControl/>
        <w:autoSpaceDE/>
        <w:autoSpaceDN/>
        <w:spacing w:before="240" w:line="276" w:lineRule="auto"/>
        <w:jc w:val="center"/>
        <w:rPr>
          <w:rFonts w:ascii="Arial" w:hAnsi="Arial" w:cs="Arial"/>
          <w:b/>
          <w:sz w:val="24"/>
          <w:szCs w:val="24"/>
          <w:lang w:val="pt-BR" w:eastAsia="pt-BR"/>
        </w:rPr>
      </w:pPr>
      <w:r w:rsidRPr="00237072">
        <w:rPr>
          <w:rFonts w:ascii="Arial" w:hAnsi="Arial" w:cs="Arial"/>
          <w:b/>
          <w:sz w:val="24"/>
          <w:szCs w:val="24"/>
          <w:lang w:val="pt-BR" w:eastAsia="pt-BR"/>
        </w:rPr>
        <w:t>DETALHAMENTO DO OBJETO E FINANCIAMENTO</w:t>
      </w:r>
    </w:p>
    <w:p w14:paraId="344EEBF4" w14:textId="77777777" w:rsidR="00237072" w:rsidRDefault="00237072" w:rsidP="00237072">
      <w:pPr>
        <w:widowControl/>
        <w:autoSpaceDE/>
        <w:autoSpaceDN/>
        <w:spacing w:before="240" w:line="276" w:lineRule="auto"/>
        <w:jc w:val="center"/>
        <w:rPr>
          <w:rFonts w:ascii="Arial" w:hAnsi="Arial" w:cs="Arial"/>
          <w:b/>
          <w:sz w:val="24"/>
          <w:szCs w:val="24"/>
          <w:lang w:val="pt-BR" w:eastAsia="pt-BR"/>
        </w:rPr>
      </w:pPr>
      <w:r w:rsidRPr="00237072">
        <w:rPr>
          <w:rFonts w:ascii="Arial" w:hAnsi="Arial" w:cs="Arial"/>
          <w:b/>
          <w:sz w:val="24"/>
          <w:szCs w:val="24"/>
          <w:lang w:val="pt-BR" w:eastAsia="pt-BR"/>
        </w:rPr>
        <w:t>CATEGORIAS DE APOIO</w:t>
      </w:r>
    </w:p>
    <w:p w14:paraId="79A17A74" w14:textId="77777777" w:rsidR="00237072" w:rsidRPr="00237072" w:rsidRDefault="00237072" w:rsidP="00237072">
      <w:pPr>
        <w:widowControl/>
        <w:autoSpaceDE/>
        <w:autoSpaceDN/>
        <w:spacing w:before="240" w:line="276" w:lineRule="auto"/>
        <w:jc w:val="center"/>
        <w:rPr>
          <w:rFonts w:ascii="Arial" w:hAnsi="Arial" w:cs="Arial"/>
          <w:b/>
          <w:sz w:val="24"/>
          <w:szCs w:val="24"/>
          <w:lang w:val="pt-BR" w:eastAsia="pt-BR"/>
        </w:rPr>
      </w:pPr>
    </w:p>
    <w:p w14:paraId="52BEB15A" w14:textId="77777777" w:rsidR="00237072" w:rsidRPr="00237072" w:rsidRDefault="00237072" w:rsidP="00237072">
      <w:pPr>
        <w:widowControl/>
        <w:autoSpaceDE/>
        <w:autoSpaceDN/>
        <w:spacing w:before="120" w:after="120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237072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1. RECURSOS DO EDITAL</w:t>
      </w:r>
    </w:p>
    <w:p w14:paraId="78A6AEFF" w14:textId="5DC1AE78" w:rsidR="00237072" w:rsidRPr="00237072" w:rsidRDefault="00237072" w:rsidP="00237072">
      <w:pPr>
        <w:widowControl/>
        <w:autoSpaceDE/>
        <w:autoSpaceDN/>
        <w:spacing w:before="120" w:after="120"/>
        <w:ind w:left="120" w:right="120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O presente </w:t>
      </w: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Edital de Chamamento Público Nº 0</w:t>
      </w:r>
      <w:r>
        <w:rPr>
          <w:rFonts w:ascii="Arial" w:eastAsia="Arial" w:hAnsi="Arial" w:cs="Arial"/>
          <w:sz w:val="24"/>
          <w:szCs w:val="24"/>
          <w:lang w:val="pt-BR" w:eastAsia="pt-BR"/>
        </w:rPr>
        <w:t>2</w:t>
      </w: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/202</w:t>
      </w:r>
      <w:r>
        <w:rPr>
          <w:rFonts w:ascii="Arial" w:eastAsia="Arial" w:hAnsi="Arial" w:cs="Arial"/>
          <w:sz w:val="24"/>
          <w:szCs w:val="24"/>
          <w:lang w:val="pt-BR" w:eastAsia="pt-BR"/>
        </w:rPr>
        <w:t>4</w:t>
      </w: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 xml:space="preserve"> – Lei Paulo Gustavo - Passo de Torres dispõe de recursos financeiros na ordem de </w:t>
      </w:r>
      <w:bookmarkStart w:id="1" w:name="_Hlk182296926"/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R$ 5.601,18 (</w:t>
      </w:r>
      <w:r>
        <w:rPr>
          <w:rFonts w:ascii="Arial" w:eastAsia="Arial" w:hAnsi="Arial" w:cs="Arial"/>
          <w:sz w:val="24"/>
          <w:szCs w:val="24"/>
          <w:lang w:val="pt-BR" w:eastAsia="pt-BR"/>
        </w:rPr>
        <w:t xml:space="preserve">Cinco mil seiscentos e um reais e dezoito </w:t>
      </w: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centavos)</w:t>
      </w:r>
      <w:bookmarkEnd w:id="1"/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, distribuídos em 0</w:t>
      </w:r>
      <w:r>
        <w:rPr>
          <w:rFonts w:ascii="Arial" w:eastAsia="Arial" w:hAnsi="Arial" w:cs="Arial"/>
          <w:sz w:val="24"/>
          <w:szCs w:val="24"/>
          <w:lang w:val="pt-BR" w:eastAsia="pt-BR"/>
        </w:rPr>
        <w:t>1</w:t>
      </w: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 xml:space="preserve"> (</w:t>
      </w:r>
      <w:r>
        <w:rPr>
          <w:rFonts w:ascii="Arial" w:eastAsia="Arial" w:hAnsi="Arial" w:cs="Arial"/>
          <w:sz w:val="24"/>
          <w:szCs w:val="24"/>
          <w:lang w:val="pt-BR" w:eastAsia="pt-BR"/>
        </w:rPr>
        <w:t>uma</w:t>
      </w: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 xml:space="preserve">) </w:t>
      </w:r>
      <w:r>
        <w:rPr>
          <w:rFonts w:ascii="Arial" w:eastAsia="Arial" w:hAnsi="Arial" w:cs="Arial"/>
          <w:sz w:val="24"/>
          <w:szCs w:val="24"/>
          <w:lang w:val="pt-BR" w:eastAsia="pt-BR"/>
        </w:rPr>
        <w:t xml:space="preserve">das </w:t>
      </w: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categoria</w:t>
      </w:r>
      <w:r>
        <w:rPr>
          <w:rFonts w:ascii="Arial" w:eastAsia="Arial" w:hAnsi="Arial" w:cs="Arial"/>
          <w:sz w:val="24"/>
          <w:szCs w:val="24"/>
          <w:lang w:val="pt-BR" w:eastAsia="pt-BR"/>
        </w:rPr>
        <w:t>s</w:t>
      </w: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 xml:space="preserve"> descrita</w:t>
      </w:r>
      <w:r>
        <w:rPr>
          <w:rFonts w:ascii="Arial" w:eastAsia="Arial" w:hAnsi="Arial" w:cs="Arial"/>
          <w:sz w:val="24"/>
          <w:szCs w:val="24"/>
          <w:lang w:val="pt-BR" w:eastAsia="pt-BR"/>
        </w:rPr>
        <w:t>s</w:t>
      </w: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 xml:space="preserve"> abaixo: </w:t>
      </w:r>
    </w:p>
    <w:p w14:paraId="79CDC88B" w14:textId="77777777" w:rsidR="00237072" w:rsidRPr="00237072" w:rsidRDefault="00237072" w:rsidP="00237072">
      <w:pPr>
        <w:widowControl/>
        <w:adjustRightInd w:val="0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</w:p>
    <w:p w14:paraId="2FB361CA" w14:textId="02DE16B1" w:rsidR="00237072" w:rsidRPr="00237072" w:rsidRDefault="00237072" w:rsidP="00237072">
      <w:pPr>
        <w:widowControl/>
        <w:adjustRightInd w:val="0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b/>
          <w:bCs/>
          <w:color w:val="000000"/>
          <w:sz w:val="24"/>
          <w:szCs w:val="24"/>
          <w:lang w:val="pt-BR" w:eastAsia="pt-BR"/>
        </w:rPr>
        <w:t>1.1</w:t>
      </w:r>
      <w:r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 </w:t>
      </w:r>
      <w:r w:rsidRPr="00237072">
        <w:rPr>
          <w:rFonts w:ascii="Arial" w:eastAsia="Arial" w:hAnsi="Arial" w:cs="Arial"/>
          <w:b/>
          <w:bCs/>
          <w:color w:val="000000"/>
          <w:sz w:val="24"/>
          <w:szCs w:val="24"/>
          <w:lang w:val="pt-BR" w:eastAsia="pt-BR"/>
        </w:rPr>
        <w:t xml:space="preserve">Multilinguagens: </w:t>
      </w:r>
      <w:r w:rsidRPr="00237072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Seleção de Projetos destinados à produção e desenvolvimento de ações/produtos na área de diversos seguimentos artísticos, literários e de proteção ao patrimônio histórico, de acordo com o Artigo 8º da Lei 195/2022 - Lei Paulo Gustavo, à ordem de </w:t>
      </w: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R$ 5.601,18 (</w:t>
      </w:r>
      <w:r>
        <w:rPr>
          <w:rFonts w:ascii="Arial" w:eastAsia="Arial" w:hAnsi="Arial" w:cs="Arial"/>
          <w:sz w:val="24"/>
          <w:szCs w:val="24"/>
          <w:lang w:val="pt-BR" w:eastAsia="pt-BR"/>
        </w:rPr>
        <w:t xml:space="preserve">Cinco mil seiscentos e um reais e dezoito </w:t>
      </w: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centavos)</w:t>
      </w:r>
      <w:r w:rsidRPr="00237072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. </w:t>
      </w:r>
    </w:p>
    <w:p w14:paraId="687861C1" w14:textId="77777777" w:rsidR="00237072" w:rsidRDefault="00237072" w:rsidP="00237072">
      <w:pPr>
        <w:widowControl/>
        <w:autoSpaceDE/>
        <w:autoSpaceDN/>
        <w:spacing w:before="240"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>
        <w:rPr>
          <w:rFonts w:ascii="Arial" w:eastAsia="Arial" w:hAnsi="Arial" w:cs="Arial"/>
          <w:sz w:val="24"/>
          <w:szCs w:val="24"/>
          <w:lang w:val="pt-BR" w:eastAsia="pt-BR"/>
        </w:rPr>
        <w:t xml:space="preserve">1.1.1 </w:t>
      </w: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 xml:space="preserve">A distribuição dos recursos do Edital será dividida de acordo com a tipologia de projetos em cada uma das categorias mencionadas nas cláusulas acima, conforme abaixo: </w:t>
      </w:r>
    </w:p>
    <w:p w14:paraId="0FBB442C" w14:textId="532A977C" w:rsidR="00237072" w:rsidRPr="00237072" w:rsidRDefault="00237072" w:rsidP="00237072">
      <w:pPr>
        <w:widowControl/>
        <w:autoSpaceDE/>
        <w:autoSpaceDN/>
        <w:spacing w:before="240" w:after="200" w:line="276" w:lineRule="auto"/>
        <w:jc w:val="both"/>
        <w:rPr>
          <w:rFonts w:ascii="Arial" w:hAnsi="Arial" w:cs="Arial"/>
          <w:b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b/>
          <w:bCs/>
          <w:sz w:val="24"/>
          <w:szCs w:val="24"/>
          <w:lang w:val="pt-BR" w:eastAsia="pt-BR"/>
        </w:rPr>
        <w:t>2.</w:t>
      </w:r>
      <w:r>
        <w:rPr>
          <w:rFonts w:ascii="Arial" w:eastAsia="Arial" w:hAnsi="Arial" w:cs="Arial"/>
          <w:sz w:val="24"/>
          <w:szCs w:val="24"/>
          <w:lang w:val="pt-BR" w:eastAsia="pt-BR"/>
        </w:rPr>
        <w:t xml:space="preserve"> </w:t>
      </w:r>
      <w:r w:rsidRPr="00237072">
        <w:rPr>
          <w:rFonts w:ascii="Arial" w:hAnsi="Arial" w:cs="Arial"/>
          <w:b/>
          <w:sz w:val="24"/>
          <w:szCs w:val="24"/>
          <w:lang w:val="pt-BR" w:eastAsia="pt-BR"/>
        </w:rPr>
        <w:t>DESCRIÇÃO DAS CATEGORIAS</w:t>
      </w:r>
    </w:p>
    <w:p w14:paraId="1E3311E5" w14:textId="4BE03C2E" w:rsidR="00237072" w:rsidRPr="00237072" w:rsidRDefault="00237072" w:rsidP="00237072">
      <w:pPr>
        <w:pStyle w:val="PargrafodaLista"/>
        <w:widowControl/>
        <w:numPr>
          <w:ilvl w:val="1"/>
          <w:numId w:val="3"/>
        </w:numPr>
        <w:autoSpaceDE/>
        <w:autoSpaceDN/>
        <w:spacing w:before="240" w:after="200" w:line="276" w:lineRule="auto"/>
        <w:ind w:left="350"/>
        <w:jc w:val="both"/>
        <w:rPr>
          <w:rFonts w:ascii="Arial" w:eastAsia="Arial" w:hAnsi="Arial" w:cs="Arial"/>
          <w:b/>
          <w:bCs/>
          <w:sz w:val="24"/>
          <w:szCs w:val="24"/>
          <w:lang w:val="pt-BR" w:eastAsia="pt-BR"/>
        </w:rPr>
      </w:pPr>
      <w:r>
        <w:rPr>
          <w:rFonts w:ascii="Arial" w:eastAsia="Arial" w:hAnsi="Arial" w:cs="Arial"/>
          <w:b/>
          <w:bCs/>
          <w:sz w:val="24"/>
          <w:szCs w:val="24"/>
          <w:lang w:val="pt-BR" w:eastAsia="pt-BR"/>
        </w:rPr>
        <w:t xml:space="preserve"> </w:t>
      </w:r>
      <w:r w:rsidRPr="00237072">
        <w:rPr>
          <w:rFonts w:ascii="Arial" w:eastAsia="Arial" w:hAnsi="Arial" w:cs="Arial"/>
          <w:b/>
          <w:bCs/>
          <w:sz w:val="24"/>
          <w:szCs w:val="24"/>
          <w:lang w:val="pt-BR" w:eastAsia="pt-BR"/>
        </w:rPr>
        <w:t>Dança</w:t>
      </w:r>
    </w:p>
    <w:p w14:paraId="284243BA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Podem concorrer nesta categoria projetos que demonstrem predominância na área de dança, em qualquer modalidade, a exemplo de: dança contemporânea;</w:t>
      </w:r>
      <w:bookmarkStart w:id="2" w:name="capI_art2_incII_replaced"/>
      <w:bookmarkEnd w:id="2"/>
      <w:r w:rsidRPr="00237072">
        <w:rPr>
          <w:rFonts w:ascii="Arial" w:eastAsia="Arial" w:hAnsi="Arial" w:cs="Arial"/>
          <w:sz w:val="24"/>
          <w:szCs w:val="24"/>
          <w:lang w:val="pt-BR" w:eastAsia="pt-BR"/>
        </w:rPr>
        <w:t xml:space="preserve"> danças urbanas;</w:t>
      </w:r>
      <w:bookmarkStart w:id="3" w:name="capI_art2_incIII_replaced"/>
      <w:bookmarkEnd w:id="3"/>
      <w:r w:rsidRPr="00237072">
        <w:rPr>
          <w:rFonts w:ascii="Arial" w:eastAsia="Arial" w:hAnsi="Arial" w:cs="Arial"/>
          <w:sz w:val="24"/>
          <w:szCs w:val="24"/>
          <w:lang w:val="pt-BR" w:eastAsia="pt-BR"/>
        </w:rPr>
        <w:t xml:space="preserve"> danças populares e tradicionais;</w:t>
      </w:r>
      <w:bookmarkStart w:id="4" w:name="capI_art2_incIV"/>
      <w:bookmarkEnd w:id="4"/>
      <w:r w:rsidRPr="00237072">
        <w:rPr>
          <w:rFonts w:ascii="Arial" w:eastAsia="Arial" w:hAnsi="Arial" w:cs="Arial"/>
          <w:sz w:val="24"/>
          <w:szCs w:val="24"/>
          <w:lang w:val="pt-BR" w:eastAsia="pt-BR"/>
        </w:rPr>
        <w:t xml:space="preserve"> dança moderna</w:t>
      </w:r>
      <w:bookmarkStart w:id="5" w:name="capI_art2_incV"/>
      <w:bookmarkEnd w:id="5"/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;</w:t>
      </w:r>
      <w:bookmarkStart w:id="6" w:name="capI_art2_incVI"/>
      <w:bookmarkEnd w:id="6"/>
      <w:r w:rsidRPr="00237072">
        <w:rPr>
          <w:rFonts w:ascii="Arial" w:eastAsia="Arial" w:hAnsi="Arial" w:cs="Arial"/>
          <w:sz w:val="24"/>
          <w:szCs w:val="24"/>
          <w:lang w:val="pt-BR" w:eastAsia="pt-BR"/>
        </w:rPr>
        <w:t xml:space="preserve"> dança clássica, entre outras.</w:t>
      </w:r>
    </w:p>
    <w:p w14:paraId="112CFFA1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Os projetos podem ter como objeto:</w:t>
      </w:r>
    </w:p>
    <w:p w14:paraId="06577ACA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 – produção de espetáculos de dança;</w:t>
      </w:r>
    </w:p>
    <w:p w14:paraId="650E4CCE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II – ações de qualificação, formação, tais como realização de oficinas, cursos, ações educativas;</w:t>
      </w:r>
    </w:p>
    <w:p w14:paraId="70A5683B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III - realização de eventos, mostras, festas e festivais de dança;</w:t>
      </w:r>
    </w:p>
    <w:p w14:paraId="149C80C5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IV – publicações na área da dança ou</w:t>
      </w:r>
    </w:p>
    <w:p w14:paraId="5304B73E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V– outro objeto com predominância na área da dança.</w:t>
      </w:r>
    </w:p>
    <w:p w14:paraId="76F6AFC5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</w:p>
    <w:p w14:paraId="70C20822" w14:textId="11636A70" w:rsidR="00237072" w:rsidRPr="00237072" w:rsidRDefault="00237072" w:rsidP="00237072">
      <w:pPr>
        <w:pStyle w:val="PargrafodaLista"/>
        <w:widowControl/>
        <w:numPr>
          <w:ilvl w:val="1"/>
          <w:numId w:val="3"/>
        </w:numPr>
        <w:autoSpaceDE/>
        <w:autoSpaceDN/>
        <w:spacing w:before="240" w:after="200" w:line="276" w:lineRule="auto"/>
        <w:ind w:left="350"/>
        <w:jc w:val="both"/>
        <w:rPr>
          <w:rFonts w:ascii="Arial" w:hAnsi="Arial" w:cs="Arial"/>
          <w:b/>
          <w:sz w:val="24"/>
          <w:szCs w:val="24"/>
          <w:lang w:val="pt-BR" w:eastAsia="pt-BR"/>
        </w:rPr>
      </w:pPr>
      <w:r w:rsidRPr="00237072">
        <w:rPr>
          <w:rFonts w:ascii="Arial" w:hAnsi="Arial" w:cs="Arial"/>
          <w:b/>
          <w:sz w:val="24"/>
          <w:szCs w:val="24"/>
          <w:lang w:val="pt-BR" w:eastAsia="pt-BR"/>
        </w:rPr>
        <w:lastRenderedPageBreak/>
        <w:t>Música</w:t>
      </w:r>
    </w:p>
    <w:p w14:paraId="5EBEEC06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Podem concorrer nesta categoria projetos que demonstrem predominância na área de música, envolvendo a criação, difusão e acesso de uma maneira ampla, incluindo os diversos gêneros musicais e estilos.</w:t>
      </w:r>
    </w:p>
    <w:p w14:paraId="5D717CC4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Os projetos podem ter como objeto:</w:t>
      </w:r>
    </w:p>
    <w:p w14:paraId="65CC5C31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 – produção de eventos musicais: produção e realização de espetáculos musicais de músicos, bandas, grupos;</w:t>
      </w:r>
    </w:p>
    <w:p w14:paraId="6BF9C0B4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II – formação musical: ações de qualificação, formação, tais como realização de oficinas, cursos, ações educativas;</w:t>
      </w:r>
    </w:p>
    <w:p w14:paraId="6762B1B9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III – gravações de álbuns musicais;</w:t>
      </w:r>
    </w:p>
    <w:p w14:paraId="5048FB9E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IV – criação de obras musicais;</w:t>
      </w:r>
    </w:p>
    <w:p w14:paraId="1AE9CE71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 xml:space="preserve">V – realização de eventos, mostras, festas e festivais musicais; </w:t>
      </w:r>
    </w:p>
    <w:p w14:paraId="16A18A10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VI – publicações na área da música; ou</w:t>
      </w:r>
    </w:p>
    <w:p w14:paraId="4E3A4674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VII - outro objeto com predominância na área da música.</w:t>
      </w:r>
    </w:p>
    <w:p w14:paraId="1C845DB0" w14:textId="77777777" w:rsidR="00237072" w:rsidRPr="00237072" w:rsidRDefault="00237072" w:rsidP="00237072">
      <w:pPr>
        <w:widowControl/>
        <w:numPr>
          <w:ilvl w:val="1"/>
          <w:numId w:val="3"/>
        </w:numPr>
        <w:autoSpaceDE/>
        <w:autoSpaceDN/>
        <w:spacing w:before="240" w:after="200" w:line="276" w:lineRule="auto"/>
        <w:ind w:left="350"/>
        <w:jc w:val="both"/>
        <w:rPr>
          <w:rFonts w:ascii="Arial" w:hAnsi="Arial" w:cs="Arial"/>
          <w:b/>
          <w:sz w:val="24"/>
          <w:szCs w:val="24"/>
          <w:lang w:val="pt-BR" w:eastAsia="pt-BR"/>
        </w:rPr>
      </w:pPr>
      <w:r w:rsidRPr="00237072">
        <w:rPr>
          <w:rFonts w:ascii="Arial" w:hAnsi="Arial" w:cs="Arial"/>
          <w:b/>
          <w:sz w:val="24"/>
          <w:szCs w:val="24"/>
          <w:lang w:val="pt-BR" w:eastAsia="pt-BR"/>
        </w:rPr>
        <w:t>Teatro</w:t>
      </w:r>
    </w:p>
    <w:p w14:paraId="1D0AE243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 xml:space="preserve">Podem concorrer nesta categoria projetos que demonstrem predominância na área de artes cênicas (teatro), incluindo teatro infantojuvenil, teatro musical, dentre outros. </w:t>
      </w:r>
    </w:p>
    <w:p w14:paraId="4596D618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Os projetos podem ter como objeto:</w:t>
      </w:r>
    </w:p>
    <w:p w14:paraId="46A02192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 – montagem, produção e circulação de espetáculos teatrais;</w:t>
      </w:r>
    </w:p>
    <w:p w14:paraId="0834C97D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II - ações de capacitação, formação e qualificação tais como oficinas, cursos, ações educativas;</w:t>
      </w:r>
    </w:p>
    <w:p w14:paraId="6C228604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 xml:space="preserve">III – realização de mostras e festivais; </w:t>
      </w:r>
    </w:p>
    <w:p w14:paraId="037C3DD8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IV – publicações na área do teatro; ou</w:t>
      </w:r>
    </w:p>
    <w:p w14:paraId="505D3AA5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V – outro objeto com predominância na área de teatro.</w:t>
      </w:r>
    </w:p>
    <w:p w14:paraId="3F00D752" w14:textId="77777777" w:rsidR="00237072" w:rsidRPr="00237072" w:rsidRDefault="00237072" w:rsidP="00237072">
      <w:pPr>
        <w:widowControl/>
        <w:numPr>
          <w:ilvl w:val="1"/>
          <w:numId w:val="3"/>
        </w:numPr>
        <w:autoSpaceDE/>
        <w:autoSpaceDN/>
        <w:spacing w:before="240" w:after="200" w:line="276" w:lineRule="auto"/>
        <w:ind w:left="378"/>
        <w:jc w:val="both"/>
        <w:rPr>
          <w:rFonts w:ascii="Arial" w:hAnsi="Arial" w:cs="Arial"/>
          <w:b/>
          <w:sz w:val="24"/>
          <w:szCs w:val="24"/>
          <w:lang w:val="pt-BR" w:eastAsia="pt-BR"/>
        </w:rPr>
      </w:pPr>
      <w:r w:rsidRPr="00237072">
        <w:rPr>
          <w:rFonts w:ascii="Arial" w:hAnsi="Arial" w:cs="Arial"/>
          <w:b/>
          <w:sz w:val="24"/>
          <w:szCs w:val="24"/>
          <w:lang w:val="pt-BR" w:eastAsia="pt-BR"/>
        </w:rPr>
        <w:t>Artes Plásticas e Visuais</w:t>
      </w:r>
    </w:p>
    <w:p w14:paraId="1E513185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Podem concorrer nesta categoria projetos que demonstrem predominância na área de artes plásticas e visuais nas linguagens do desenho, pintura, escultura, gravura, objeto, instalação, intervenção urbana, performance, arte computacional ou outras linguagens do campo da arte contemporânea atual.</w:t>
      </w:r>
    </w:p>
    <w:p w14:paraId="2BE56ECB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Os projetos podem ter como objeto:</w:t>
      </w:r>
    </w:p>
    <w:p w14:paraId="1BD8336C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lastRenderedPageBreak/>
        <w:t>I – realização de exposição ou feiras de artes;</w:t>
      </w:r>
    </w:p>
    <w:p w14:paraId="50396943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II - ações de capacitação, formação e qualificação tais como oficinas, cursos, ações educativas;</w:t>
      </w:r>
    </w:p>
    <w:p w14:paraId="4587FD91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III – produção de obras de arte;</w:t>
      </w:r>
    </w:p>
    <w:p w14:paraId="0D176F6F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IV – publicações na área de artes plásticas e visuais; ou</w:t>
      </w:r>
    </w:p>
    <w:p w14:paraId="571A9AF0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V - outros projetos com predominância na área de artes plásticas e visuais.</w:t>
      </w:r>
    </w:p>
    <w:p w14:paraId="32B6CA12" w14:textId="77777777" w:rsidR="00237072" w:rsidRPr="00237072" w:rsidRDefault="00237072" w:rsidP="00237072">
      <w:pPr>
        <w:widowControl/>
        <w:numPr>
          <w:ilvl w:val="1"/>
          <w:numId w:val="3"/>
        </w:numPr>
        <w:autoSpaceDE/>
        <w:autoSpaceDN/>
        <w:spacing w:before="240" w:after="200" w:line="276" w:lineRule="auto"/>
        <w:ind w:left="378"/>
        <w:jc w:val="both"/>
        <w:rPr>
          <w:rFonts w:ascii="Arial" w:hAnsi="Arial" w:cs="Arial"/>
          <w:b/>
          <w:sz w:val="24"/>
          <w:szCs w:val="24"/>
          <w:lang w:val="pt-BR" w:eastAsia="pt-BR"/>
        </w:rPr>
      </w:pPr>
      <w:r w:rsidRPr="00237072">
        <w:rPr>
          <w:rFonts w:ascii="Arial" w:hAnsi="Arial" w:cs="Arial"/>
          <w:b/>
          <w:sz w:val="24"/>
          <w:szCs w:val="24"/>
          <w:lang w:val="pt-BR" w:eastAsia="pt-BR"/>
        </w:rPr>
        <w:t>Artesanato</w:t>
      </w:r>
    </w:p>
    <w:p w14:paraId="2972E90F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Podem concorrer nesta categoria projetos que demonstrem predominância na área de artesanato, que compreende a produção artesanal de objetos, obras e bens.</w:t>
      </w:r>
    </w:p>
    <w:p w14:paraId="3863BA18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Os projetos podem ter como objeto:</w:t>
      </w:r>
    </w:p>
    <w:p w14:paraId="64E6F5CC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 – realização de feiras, mostras, exposições;</w:t>
      </w:r>
    </w:p>
    <w:p w14:paraId="0B706D1A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II – produção de peças artesanais;</w:t>
      </w:r>
    </w:p>
    <w:p w14:paraId="731637B0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 xml:space="preserve">III – ações de qualificação, formação, tais como realização de oficinas, cursos, ações educativas; </w:t>
      </w:r>
    </w:p>
    <w:p w14:paraId="36635273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IV – publicações na área de artesanato; ou</w:t>
      </w:r>
    </w:p>
    <w:p w14:paraId="1B5ED4D4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V – outro objeto com predominância na área do artesanato.</w:t>
      </w:r>
    </w:p>
    <w:p w14:paraId="201794B2" w14:textId="77777777" w:rsidR="00237072" w:rsidRPr="00237072" w:rsidRDefault="00237072" w:rsidP="00237072">
      <w:pPr>
        <w:widowControl/>
        <w:numPr>
          <w:ilvl w:val="1"/>
          <w:numId w:val="3"/>
        </w:numPr>
        <w:autoSpaceDE/>
        <w:autoSpaceDN/>
        <w:spacing w:before="240" w:after="200" w:line="276" w:lineRule="auto"/>
        <w:ind w:left="322"/>
        <w:jc w:val="both"/>
        <w:rPr>
          <w:rFonts w:ascii="Arial" w:hAnsi="Arial" w:cs="Arial"/>
          <w:b/>
          <w:sz w:val="24"/>
          <w:szCs w:val="24"/>
          <w:lang w:val="pt-BR" w:eastAsia="pt-BR"/>
        </w:rPr>
      </w:pPr>
      <w:r w:rsidRPr="00237072">
        <w:rPr>
          <w:rFonts w:ascii="Arial" w:hAnsi="Arial" w:cs="Arial"/>
          <w:b/>
          <w:sz w:val="24"/>
          <w:szCs w:val="24"/>
          <w:lang w:val="pt-BR" w:eastAsia="pt-BR"/>
        </w:rPr>
        <w:t>Leitura, escrita e oralidade</w:t>
      </w:r>
    </w:p>
    <w:p w14:paraId="43B035AC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Podem concorrer nesta categoria projetos que demonstrem predominância na área da leitura, escrita e oralidade.</w:t>
      </w:r>
    </w:p>
    <w:p w14:paraId="5A07EC7D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 xml:space="preserve">Os projetos podem ter como objeto: </w:t>
      </w:r>
    </w:p>
    <w:p w14:paraId="7D084B8D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 – publicação de textos inéditos, em diversos gêneros e/ou formatos;</w:t>
      </w:r>
    </w:p>
    <w:p w14:paraId="42475FC0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II - organização de eventos e demais atividades com foco na difusão da literatura, do Livro, da leitura e da oralidade, tais como feiras, mostras, saraus e batalhas de rimas;</w:t>
      </w:r>
    </w:p>
    <w:p w14:paraId="47312895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III – projetos de formação, como a realização de oficinas, cursos, ações educativas;</w:t>
      </w:r>
    </w:p>
    <w:p w14:paraId="43EEC22E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 xml:space="preserve">IV - apoio à modernização e qualificação de espaços e serviços em bibliotecas comunitárias e pontos de leitura, ampliando o acesso à informação, à leitura e ao livro; </w:t>
      </w:r>
    </w:p>
    <w:p w14:paraId="399C47B0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V – formação e circulação de contadores de histórias, mediador de leitura em bibliotecas, escolas, pontos de leitura ou espaços públicos;</w:t>
      </w:r>
    </w:p>
    <w:p w14:paraId="3B76F0C5" w14:textId="77777777" w:rsid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VI - outro objeto com predominância nas áreas de leitura, escrita e oralidade.</w:t>
      </w:r>
    </w:p>
    <w:p w14:paraId="67AF18D4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</w:p>
    <w:p w14:paraId="5CFF9A7E" w14:textId="77777777" w:rsidR="00237072" w:rsidRPr="00237072" w:rsidRDefault="00237072" w:rsidP="00237072">
      <w:pPr>
        <w:widowControl/>
        <w:numPr>
          <w:ilvl w:val="1"/>
          <w:numId w:val="3"/>
        </w:numPr>
        <w:autoSpaceDE/>
        <w:autoSpaceDN/>
        <w:spacing w:before="240" w:after="200" w:line="276" w:lineRule="auto"/>
        <w:ind w:left="378"/>
        <w:jc w:val="both"/>
        <w:rPr>
          <w:rFonts w:ascii="Arial" w:hAnsi="Arial" w:cs="Arial"/>
          <w:b/>
          <w:sz w:val="24"/>
          <w:szCs w:val="24"/>
          <w:lang w:val="pt-BR" w:eastAsia="pt-BR"/>
        </w:rPr>
      </w:pPr>
      <w:r w:rsidRPr="00237072">
        <w:rPr>
          <w:rFonts w:ascii="Arial" w:hAnsi="Arial" w:cs="Arial"/>
          <w:b/>
          <w:sz w:val="24"/>
          <w:szCs w:val="24"/>
          <w:lang w:val="pt-BR" w:eastAsia="pt-BR"/>
        </w:rPr>
        <w:lastRenderedPageBreak/>
        <w:t>Patrimônio Cultural</w:t>
      </w:r>
    </w:p>
    <w:p w14:paraId="54D6C750" w14:textId="77777777" w:rsidR="00237072" w:rsidRPr="00237072" w:rsidRDefault="00237072" w:rsidP="00237072">
      <w:pPr>
        <w:widowControl/>
        <w:autoSpaceDE/>
        <w:autoSpaceDN/>
        <w:spacing w:before="240"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 xml:space="preserve">Podem concorrer nesta categoria projetos que disponham sobre patrimônio cultural material ou imaterial, bens tombados e registrados, imóveis de relevância histórica e arquitetônica, ou as diversas manifestações, celebrações e saberes considerados expressões das tradições culturais que integram a Região. </w:t>
      </w:r>
    </w:p>
    <w:p w14:paraId="4EA92559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Os projetos podem ter como objeto:</w:t>
      </w:r>
    </w:p>
    <w:p w14:paraId="4A0AA6A4" w14:textId="77777777" w:rsidR="00237072" w:rsidRPr="00237072" w:rsidRDefault="00237072" w:rsidP="00237072">
      <w:pPr>
        <w:widowControl/>
        <w:autoSpaceDE/>
        <w:autoSpaceDN/>
        <w:spacing w:before="240"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 – pesquisa, incluindo a elaboração de inventários;</w:t>
      </w:r>
    </w:p>
    <w:p w14:paraId="15A7BD38" w14:textId="77777777" w:rsidR="00237072" w:rsidRPr="00237072" w:rsidRDefault="00237072" w:rsidP="00237072">
      <w:pPr>
        <w:widowControl/>
        <w:autoSpaceDE/>
        <w:autoSpaceDN/>
        <w:spacing w:before="240"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II - publicação de trabalhos já concluídos, que visem à difusão e preservação da memória das várias identidades da região;</w:t>
      </w:r>
    </w:p>
    <w:p w14:paraId="5F12C670" w14:textId="77777777" w:rsidR="00237072" w:rsidRPr="00237072" w:rsidRDefault="00237072" w:rsidP="00237072">
      <w:pPr>
        <w:widowControl/>
        <w:autoSpaceDE/>
        <w:autoSpaceDN/>
        <w:spacing w:before="240"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III – educação patrimonial, por meio da realização de seminários, fóruns, palestras, minicursos e cursos, aulas, oficinas, simpósios, congressos, encontros, exposições, apresentações culturais, ou quaisquer ações comunitárias que visem à difusão, promoção e preservação da memória das várias identidades que constituem;</w:t>
      </w:r>
    </w:p>
    <w:p w14:paraId="6E53A042" w14:textId="77777777" w:rsidR="00237072" w:rsidRPr="00237072" w:rsidRDefault="00237072" w:rsidP="00237072">
      <w:pPr>
        <w:widowControl/>
        <w:autoSpaceDE/>
        <w:autoSpaceDN/>
        <w:spacing w:before="240"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IV – exposições, criação de catálogo;</w:t>
      </w:r>
    </w:p>
    <w:p w14:paraId="1938018F" w14:textId="77777777" w:rsidR="00237072" w:rsidRPr="00237072" w:rsidRDefault="00237072" w:rsidP="00237072">
      <w:pPr>
        <w:widowControl/>
        <w:autoSpaceDE/>
        <w:autoSpaceDN/>
        <w:spacing w:before="240"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V – elaboração de material educativo; ou</w:t>
      </w:r>
    </w:p>
    <w:p w14:paraId="14A08EEA" w14:textId="77777777" w:rsidR="00237072" w:rsidRPr="00237072" w:rsidRDefault="00237072" w:rsidP="00237072">
      <w:pPr>
        <w:widowControl/>
        <w:autoSpaceDE/>
        <w:autoSpaceDN/>
        <w:spacing w:before="240"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VI – outro objeto relacionado ao patrimônio cultural material ou imaterial.</w:t>
      </w:r>
    </w:p>
    <w:p w14:paraId="6E9750D1" w14:textId="77777777" w:rsidR="00237072" w:rsidRPr="00237072" w:rsidRDefault="00237072" w:rsidP="00237072">
      <w:pPr>
        <w:widowControl/>
        <w:numPr>
          <w:ilvl w:val="1"/>
          <w:numId w:val="3"/>
        </w:numPr>
        <w:autoSpaceDE/>
        <w:autoSpaceDN/>
        <w:spacing w:before="240" w:after="200" w:line="276" w:lineRule="auto"/>
        <w:ind w:left="336"/>
        <w:jc w:val="both"/>
        <w:rPr>
          <w:rFonts w:ascii="Arial" w:hAnsi="Arial" w:cs="Arial"/>
          <w:b/>
          <w:sz w:val="24"/>
          <w:szCs w:val="24"/>
          <w:lang w:val="pt-BR" w:eastAsia="pt-BR"/>
        </w:rPr>
      </w:pPr>
      <w:r w:rsidRPr="00237072">
        <w:rPr>
          <w:rFonts w:ascii="Arial" w:hAnsi="Arial" w:cs="Arial"/>
          <w:b/>
          <w:sz w:val="24"/>
          <w:szCs w:val="24"/>
          <w:lang w:val="pt-BR" w:eastAsia="pt-BR"/>
        </w:rPr>
        <w:t xml:space="preserve">Circo </w:t>
      </w:r>
    </w:p>
    <w:p w14:paraId="3E044967" w14:textId="77777777" w:rsidR="00237072" w:rsidRPr="00237072" w:rsidRDefault="00237072" w:rsidP="00237072">
      <w:pPr>
        <w:widowControl/>
        <w:autoSpaceDE/>
        <w:autoSpaceDN/>
        <w:spacing w:before="240"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 xml:space="preserve">Podem concorrer nesta categoria projetos que demonstrem predominância na área de artes cênicas (Circo), incluindo circos de lona, artistas, grupos ou trupes de circo, projetos sociais que utilizem a linguagem circense, dentre outros. </w:t>
      </w:r>
    </w:p>
    <w:p w14:paraId="4580C86A" w14:textId="77777777" w:rsidR="00237072" w:rsidRPr="00237072" w:rsidRDefault="00237072" w:rsidP="00237072">
      <w:pPr>
        <w:widowControl/>
        <w:autoSpaceDE/>
        <w:autoSpaceDN/>
        <w:spacing w:before="240"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Os projetos podem ter como objeto:</w:t>
      </w:r>
    </w:p>
    <w:p w14:paraId="789555BC" w14:textId="77777777" w:rsidR="00237072" w:rsidRPr="00237072" w:rsidRDefault="00237072" w:rsidP="00237072">
      <w:pPr>
        <w:widowControl/>
        <w:autoSpaceDE/>
        <w:autoSpaceDN/>
        <w:spacing w:before="240"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 – manutenção e recomposição da infraestrutura circense;</w:t>
      </w:r>
    </w:p>
    <w:p w14:paraId="1406F53A" w14:textId="77777777" w:rsidR="00237072" w:rsidRPr="00237072" w:rsidRDefault="00237072" w:rsidP="00237072">
      <w:pPr>
        <w:widowControl/>
        <w:autoSpaceDE/>
        <w:autoSpaceDN/>
        <w:spacing w:before="240"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II – montagem, produção e circulação de espetáculos circenses;</w:t>
      </w:r>
    </w:p>
    <w:p w14:paraId="69FA6325" w14:textId="77777777" w:rsidR="00237072" w:rsidRPr="00237072" w:rsidRDefault="00237072" w:rsidP="00237072">
      <w:pPr>
        <w:widowControl/>
        <w:autoSpaceDE/>
        <w:autoSpaceDN/>
        <w:spacing w:before="240"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III – ações de capacitação, formação e qualificação tais como oficinas, cursos, ações educativas;</w:t>
      </w:r>
    </w:p>
    <w:p w14:paraId="45BA81AB" w14:textId="77777777" w:rsidR="00237072" w:rsidRPr="00237072" w:rsidRDefault="00237072" w:rsidP="00237072">
      <w:pPr>
        <w:widowControl/>
        <w:autoSpaceDE/>
        <w:autoSpaceDN/>
        <w:spacing w:before="240"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 xml:space="preserve">IV – realização de mostras e festivais; </w:t>
      </w:r>
    </w:p>
    <w:p w14:paraId="1F0D674C" w14:textId="77777777" w:rsidR="00237072" w:rsidRPr="00237072" w:rsidRDefault="00237072" w:rsidP="00237072">
      <w:pPr>
        <w:widowControl/>
        <w:autoSpaceDE/>
        <w:autoSpaceDN/>
        <w:spacing w:before="240"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V – publicações na área do circo; ou</w:t>
      </w:r>
    </w:p>
    <w:p w14:paraId="604090D8" w14:textId="77777777" w:rsidR="00237072" w:rsidRDefault="00237072" w:rsidP="00237072">
      <w:pPr>
        <w:widowControl/>
        <w:autoSpaceDE/>
        <w:autoSpaceDN/>
        <w:spacing w:before="240"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VI – outro objeto com predominância na área de circo.</w:t>
      </w:r>
    </w:p>
    <w:p w14:paraId="6AA7A172" w14:textId="77777777" w:rsidR="00237072" w:rsidRDefault="00237072" w:rsidP="00237072">
      <w:pPr>
        <w:widowControl/>
        <w:autoSpaceDE/>
        <w:autoSpaceDN/>
        <w:spacing w:before="240"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</w:p>
    <w:p w14:paraId="05E4E00A" w14:textId="77777777" w:rsidR="00237072" w:rsidRPr="00237072" w:rsidRDefault="00237072" w:rsidP="00237072">
      <w:pPr>
        <w:widowControl/>
        <w:autoSpaceDE/>
        <w:autoSpaceDN/>
        <w:spacing w:before="240"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</w:p>
    <w:p w14:paraId="28019E30" w14:textId="77777777" w:rsidR="00237072" w:rsidRPr="00237072" w:rsidRDefault="00237072" w:rsidP="00237072">
      <w:pPr>
        <w:widowControl/>
        <w:numPr>
          <w:ilvl w:val="1"/>
          <w:numId w:val="3"/>
        </w:numPr>
        <w:autoSpaceDE/>
        <w:autoSpaceDN/>
        <w:spacing w:before="240" w:after="200" w:line="276" w:lineRule="auto"/>
        <w:ind w:left="378"/>
        <w:jc w:val="both"/>
        <w:rPr>
          <w:rFonts w:ascii="Arial" w:hAnsi="Arial" w:cs="Arial"/>
          <w:b/>
          <w:sz w:val="24"/>
          <w:szCs w:val="24"/>
          <w:lang w:val="pt-BR" w:eastAsia="pt-BR"/>
        </w:rPr>
      </w:pPr>
      <w:r w:rsidRPr="00237072">
        <w:rPr>
          <w:rFonts w:ascii="Arial" w:hAnsi="Arial" w:cs="Arial"/>
          <w:b/>
          <w:sz w:val="24"/>
          <w:szCs w:val="24"/>
          <w:lang w:val="pt-BR" w:eastAsia="pt-BR"/>
        </w:rPr>
        <w:lastRenderedPageBreak/>
        <w:t>Projetos livres</w:t>
      </w:r>
    </w:p>
    <w:p w14:paraId="611E6A9B" w14:textId="77777777" w:rsidR="00237072" w:rsidRPr="00237072" w:rsidRDefault="00237072" w:rsidP="00237072">
      <w:pPr>
        <w:widowControl/>
        <w:autoSpaceDE/>
        <w:autoSpaceDN/>
        <w:spacing w:before="240"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Podem concorrer nesta categoria projetos de qualquer linguagem artística/cultural não contemplada nominalmente nas outras categorias.</w:t>
      </w:r>
    </w:p>
    <w:p w14:paraId="66ECADF9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Os projetos podem ter como objeto:</w:t>
      </w:r>
    </w:p>
    <w:p w14:paraId="20DB185A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 – produção de espetáculos, apresentações e afins;</w:t>
      </w:r>
    </w:p>
    <w:p w14:paraId="104207F2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II – ações de qualificação, formação, tais como realização de oficinas, cursos, ações educativas;</w:t>
      </w:r>
    </w:p>
    <w:p w14:paraId="50377AD2" w14:textId="77777777" w:rsidR="00237072" w:rsidRPr="00237072" w:rsidRDefault="00237072" w:rsidP="00237072">
      <w:pPr>
        <w:widowControl/>
        <w:autoSpaceDE/>
        <w:autoSpaceDN/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pt-BR" w:eastAsia="pt-BR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III - realização de eventos, mostras, festas e festivais; ou</w:t>
      </w:r>
    </w:p>
    <w:p w14:paraId="3FA4372C" w14:textId="2BB11376" w:rsidR="009E52E2" w:rsidRDefault="00237072" w:rsidP="0056317B">
      <w:pPr>
        <w:widowControl/>
        <w:autoSpaceDE/>
        <w:autoSpaceDN/>
        <w:spacing w:after="200" w:line="276" w:lineRule="auto"/>
        <w:jc w:val="both"/>
        <w:rPr>
          <w:sz w:val="21"/>
        </w:rPr>
      </w:pPr>
      <w:r w:rsidRPr="00237072">
        <w:rPr>
          <w:rFonts w:ascii="Arial" w:eastAsia="Arial" w:hAnsi="Arial" w:cs="Arial"/>
          <w:sz w:val="24"/>
          <w:szCs w:val="24"/>
          <w:lang w:val="pt-BR" w:eastAsia="pt-BR"/>
        </w:rPr>
        <w:t>IV – outro objeto cultural.</w:t>
      </w:r>
    </w:p>
    <w:p w14:paraId="19E55BF8" w14:textId="0BE06474" w:rsidR="009E52E2" w:rsidRDefault="00736F06" w:rsidP="0056317B">
      <w:pPr>
        <w:pStyle w:val="Ttulo1"/>
        <w:numPr>
          <w:ilvl w:val="0"/>
          <w:numId w:val="4"/>
        </w:numPr>
        <w:spacing w:before="46"/>
        <w:ind w:left="336"/>
      </w:pPr>
      <w:r>
        <w:t>DISTRIBUIÇÃO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VAGAS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VALORES</w:t>
      </w:r>
    </w:p>
    <w:p w14:paraId="0F05E96D" w14:textId="77777777" w:rsidR="009E52E2" w:rsidRDefault="009E52E2">
      <w:pPr>
        <w:pStyle w:val="Corpodetexto"/>
        <w:spacing w:before="2"/>
        <w:rPr>
          <w:b/>
          <w:sz w:val="25"/>
        </w:rPr>
      </w:pPr>
    </w:p>
    <w:tbl>
      <w:tblPr>
        <w:tblStyle w:val="Tabelacomgrade"/>
        <w:tblpPr w:leftFromText="141" w:rightFromText="141" w:vertAnchor="text" w:horzAnchor="margin" w:tblpXSpec="right" w:tblpYSpec="top"/>
        <w:tblW w:w="9224" w:type="dxa"/>
        <w:tblLayout w:type="fixed"/>
        <w:tblLook w:val="0000" w:firstRow="0" w:lastRow="0" w:firstColumn="0" w:lastColumn="0" w:noHBand="0" w:noVBand="0"/>
      </w:tblPr>
      <w:tblGrid>
        <w:gridCol w:w="2278"/>
        <w:gridCol w:w="1139"/>
        <w:gridCol w:w="987"/>
        <w:gridCol w:w="1154"/>
        <w:gridCol w:w="2086"/>
        <w:gridCol w:w="1580"/>
      </w:tblGrid>
      <w:tr w:rsidR="00476327" w:rsidRPr="0053019C" w14:paraId="343294B8" w14:textId="77777777" w:rsidTr="00476327">
        <w:trPr>
          <w:trHeight w:val="103"/>
        </w:trPr>
        <w:tc>
          <w:tcPr>
            <w:tcW w:w="9224" w:type="dxa"/>
            <w:gridSpan w:val="6"/>
          </w:tcPr>
          <w:p w14:paraId="2C28CC4E" w14:textId="5B0C00AB" w:rsidR="00476327" w:rsidRPr="002F2CED" w:rsidRDefault="00476327" w:rsidP="00B24ABD">
            <w:pPr>
              <w:pStyle w:val="Default"/>
              <w:ind w:right="-1"/>
              <w:rPr>
                <w:color w:val="auto"/>
                <w:sz w:val="22"/>
                <w:szCs w:val="22"/>
              </w:rPr>
            </w:pPr>
            <w:r w:rsidRPr="00476327">
              <w:rPr>
                <w:b/>
                <w:bCs/>
                <w:color w:val="auto"/>
                <w:sz w:val="22"/>
                <w:szCs w:val="22"/>
              </w:rPr>
              <w:t>3.1</w:t>
            </w:r>
            <w:r w:rsidRPr="002F2CED">
              <w:rPr>
                <w:color w:val="auto"/>
                <w:sz w:val="22"/>
                <w:szCs w:val="22"/>
              </w:rPr>
              <w:t xml:space="preserve"> </w:t>
            </w:r>
            <w:r w:rsidRPr="002F2CED">
              <w:rPr>
                <w:b/>
                <w:bCs/>
                <w:color w:val="auto"/>
                <w:sz w:val="22"/>
                <w:szCs w:val="22"/>
              </w:rPr>
              <w:t>Multilinguagens</w:t>
            </w:r>
          </w:p>
        </w:tc>
      </w:tr>
      <w:tr w:rsidR="00476327" w:rsidRPr="0053019C" w14:paraId="6691111D" w14:textId="77777777" w:rsidTr="00476327">
        <w:trPr>
          <w:trHeight w:val="323"/>
        </w:trPr>
        <w:tc>
          <w:tcPr>
            <w:tcW w:w="2278" w:type="dxa"/>
            <w:vAlign w:val="center"/>
          </w:tcPr>
          <w:p w14:paraId="13801C28" w14:textId="77777777" w:rsidR="00476327" w:rsidRPr="002F2CED" w:rsidRDefault="00476327" w:rsidP="00B24ABD">
            <w:pPr>
              <w:pStyle w:val="Default"/>
              <w:ind w:right="-1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F2CED">
              <w:rPr>
                <w:b/>
                <w:bCs/>
                <w:color w:val="auto"/>
                <w:sz w:val="20"/>
                <w:szCs w:val="20"/>
              </w:rPr>
              <w:t>Tipologia de Projeto</w:t>
            </w:r>
          </w:p>
        </w:tc>
        <w:tc>
          <w:tcPr>
            <w:tcW w:w="1139" w:type="dxa"/>
            <w:vAlign w:val="center"/>
          </w:tcPr>
          <w:p w14:paraId="34C4DEAF" w14:textId="77777777" w:rsidR="00476327" w:rsidRPr="002F2CED" w:rsidRDefault="00476327" w:rsidP="00B24ABD">
            <w:pPr>
              <w:pStyle w:val="Default"/>
              <w:ind w:right="-1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F2CED">
              <w:rPr>
                <w:b/>
                <w:bCs/>
                <w:color w:val="auto"/>
                <w:sz w:val="20"/>
                <w:szCs w:val="20"/>
              </w:rPr>
              <w:t>Total</w:t>
            </w:r>
          </w:p>
          <w:p w14:paraId="7F9FA33B" w14:textId="77777777" w:rsidR="00476327" w:rsidRPr="002F2CED" w:rsidRDefault="00476327" w:rsidP="00B24ABD">
            <w:pPr>
              <w:pStyle w:val="Default"/>
              <w:ind w:right="-1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F2CED">
              <w:rPr>
                <w:b/>
                <w:bCs/>
                <w:color w:val="auto"/>
                <w:sz w:val="20"/>
                <w:szCs w:val="20"/>
              </w:rPr>
              <w:t>de</w:t>
            </w:r>
          </w:p>
          <w:p w14:paraId="2A460F76" w14:textId="77777777" w:rsidR="00476327" w:rsidRPr="002F2CED" w:rsidRDefault="00476327" w:rsidP="00B24ABD">
            <w:pPr>
              <w:pStyle w:val="Default"/>
              <w:tabs>
                <w:tab w:val="left" w:pos="1058"/>
              </w:tabs>
              <w:ind w:right="-1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F2CED">
              <w:rPr>
                <w:b/>
                <w:bCs/>
                <w:color w:val="auto"/>
                <w:sz w:val="20"/>
                <w:szCs w:val="20"/>
              </w:rPr>
              <w:t>Projetos</w:t>
            </w:r>
          </w:p>
        </w:tc>
        <w:tc>
          <w:tcPr>
            <w:tcW w:w="987" w:type="dxa"/>
            <w:vAlign w:val="center"/>
          </w:tcPr>
          <w:p w14:paraId="5CCBF39D" w14:textId="77777777" w:rsidR="00476327" w:rsidRPr="002F2CED" w:rsidRDefault="00476327" w:rsidP="00B24ABD">
            <w:pPr>
              <w:pStyle w:val="Default"/>
              <w:ind w:right="-1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F2CED">
              <w:rPr>
                <w:b/>
                <w:bCs/>
                <w:color w:val="auto"/>
                <w:sz w:val="20"/>
                <w:szCs w:val="20"/>
              </w:rPr>
              <w:t>Cotas</w:t>
            </w:r>
          </w:p>
          <w:p w14:paraId="174DAE65" w14:textId="77777777" w:rsidR="00476327" w:rsidRPr="002F2CED" w:rsidRDefault="00476327" w:rsidP="00B24ABD">
            <w:pPr>
              <w:pStyle w:val="Default"/>
              <w:ind w:right="-1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F2CED">
              <w:rPr>
                <w:b/>
                <w:bCs/>
                <w:color w:val="auto"/>
                <w:sz w:val="20"/>
                <w:szCs w:val="20"/>
              </w:rPr>
              <w:t>Negros</w:t>
            </w:r>
          </w:p>
        </w:tc>
        <w:tc>
          <w:tcPr>
            <w:tcW w:w="1154" w:type="dxa"/>
            <w:vAlign w:val="center"/>
          </w:tcPr>
          <w:p w14:paraId="1A2822CC" w14:textId="77777777" w:rsidR="00476327" w:rsidRPr="002F2CED" w:rsidRDefault="00476327" w:rsidP="00B24ABD">
            <w:pPr>
              <w:pStyle w:val="Default"/>
              <w:ind w:right="-1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F2CED">
              <w:rPr>
                <w:b/>
                <w:bCs/>
                <w:color w:val="auto"/>
                <w:sz w:val="20"/>
                <w:szCs w:val="20"/>
              </w:rPr>
              <w:t>Cotas</w:t>
            </w:r>
          </w:p>
          <w:p w14:paraId="10CBB83D" w14:textId="77777777" w:rsidR="00476327" w:rsidRPr="002F2CED" w:rsidRDefault="00476327" w:rsidP="00B24ABD">
            <w:pPr>
              <w:pStyle w:val="Default"/>
              <w:ind w:right="-1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F2CED">
              <w:rPr>
                <w:b/>
                <w:bCs/>
                <w:color w:val="auto"/>
                <w:sz w:val="20"/>
                <w:szCs w:val="20"/>
              </w:rPr>
              <w:t>Indígenas</w:t>
            </w:r>
          </w:p>
        </w:tc>
        <w:tc>
          <w:tcPr>
            <w:tcW w:w="2086" w:type="dxa"/>
            <w:vAlign w:val="center"/>
          </w:tcPr>
          <w:p w14:paraId="7267C49D" w14:textId="77777777" w:rsidR="00476327" w:rsidRPr="002F2CED" w:rsidRDefault="00476327" w:rsidP="00B24ABD">
            <w:pPr>
              <w:pStyle w:val="Default"/>
              <w:ind w:right="-1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11EEADAE" w14:textId="77777777" w:rsidR="00476327" w:rsidRPr="002F2CED" w:rsidRDefault="00476327" w:rsidP="00B24ABD">
            <w:pPr>
              <w:pStyle w:val="Default"/>
              <w:ind w:right="-1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F2CED">
              <w:rPr>
                <w:b/>
                <w:bCs/>
                <w:color w:val="auto"/>
                <w:sz w:val="20"/>
                <w:szCs w:val="20"/>
              </w:rPr>
              <w:t>Valor por Projeto</w:t>
            </w:r>
          </w:p>
        </w:tc>
        <w:tc>
          <w:tcPr>
            <w:tcW w:w="1580" w:type="dxa"/>
            <w:vAlign w:val="center"/>
          </w:tcPr>
          <w:p w14:paraId="0C899C65" w14:textId="77777777" w:rsidR="00476327" w:rsidRPr="002F2CED" w:rsidRDefault="00476327" w:rsidP="00B24ABD">
            <w:pPr>
              <w:pStyle w:val="Default"/>
              <w:ind w:right="-1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16417A4D" w14:textId="77777777" w:rsidR="00476327" w:rsidRPr="002F2CED" w:rsidRDefault="00476327" w:rsidP="00B24ABD">
            <w:pPr>
              <w:pStyle w:val="Default"/>
              <w:ind w:right="-1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F2CED">
              <w:rPr>
                <w:b/>
                <w:bCs/>
                <w:color w:val="auto"/>
                <w:sz w:val="20"/>
                <w:szCs w:val="20"/>
              </w:rPr>
              <w:t>Total</w:t>
            </w:r>
          </w:p>
          <w:p w14:paraId="68FDAADF" w14:textId="77777777" w:rsidR="00476327" w:rsidRPr="002F2CED" w:rsidRDefault="00476327" w:rsidP="00B24ABD">
            <w:pPr>
              <w:pStyle w:val="Default"/>
              <w:ind w:right="-1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476327" w:rsidRPr="0053019C" w14:paraId="2AEAA8C6" w14:textId="77777777" w:rsidTr="00476327">
        <w:trPr>
          <w:trHeight w:val="1840"/>
        </w:trPr>
        <w:tc>
          <w:tcPr>
            <w:tcW w:w="2278" w:type="dxa"/>
            <w:vAlign w:val="center"/>
          </w:tcPr>
          <w:p w14:paraId="664A7926" w14:textId="77777777" w:rsidR="00476327" w:rsidRPr="00EE00F3" w:rsidRDefault="00476327" w:rsidP="00B24ABD">
            <w:pPr>
              <w:pStyle w:val="Default"/>
              <w:ind w:right="-1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bookmarkStart w:id="7" w:name="_Hlk148949717"/>
            <w:r w:rsidRPr="00EE00F3">
              <w:rPr>
                <w:b/>
                <w:bCs/>
                <w:color w:val="auto"/>
                <w:sz w:val="20"/>
                <w:szCs w:val="20"/>
              </w:rPr>
              <w:t>Produção e desenvolvimento de ações/produtos na área de diversos seguimentos culturais</w:t>
            </w:r>
          </w:p>
        </w:tc>
        <w:tc>
          <w:tcPr>
            <w:tcW w:w="1139" w:type="dxa"/>
            <w:vAlign w:val="center"/>
          </w:tcPr>
          <w:p w14:paraId="52168B0F" w14:textId="77777777" w:rsidR="00476327" w:rsidRPr="002F2CED" w:rsidRDefault="00476327" w:rsidP="00B24ABD">
            <w:pPr>
              <w:pStyle w:val="Default"/>
              <w:ind w:right="-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141" w:type="dxa"/>
            <w:gridSpan w:val="2"/>
            <w:vAlign w:val="center"/>
          </w:tcPr>
          <w:p w14:paraId="45E199A3" w14:textId="77777777" w:rsidR="00476327" w:rsidRPr="002F2CED" w:rsidRDefault="00476327" w:rsidP="00B24ABD">
            <w:pPr>
              <w:pStyle w:val="Default"/>
              <w:ind w:right="-1"/>
              <w:jc w:val="center"/>
              <w:rPr>
                <w:color w:val="auto"/>
                <w:sz w:val="20"/>
                <w:szCs w:val="20"/>
              </w:rPr>
            </w:pPr>
            <w:r w:rsidRPr="002F2CE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086" w:type="dxa"/>
            <w:vAlign w:val="center"/>
          </w:tcPr>
          <w:p w14:paraId="7ACFDE39" w14:textId="77777777" w:rsidR="00476327" w:rsidRPr="002F2CED" w:rsidRDefault="00476327" w:rsidP="00B24ABD">
            <w:pPr>
              <w:pStyle w:val="Default"/>
              <w:ind w:right="-1"/>
              <w:jc w:val="center"/>
              <w:rPr>
                <w:color w:val="auto"/>
                <w:sz w:val="20"/>
                <w:szCs w:val="20"/>
              </w:rPr>
            </w:pPr>
            <w:r w:rsidRPr="00E35E13">
              <w:rPr>
                <w:color w:val="auto"/>
                <w:sz w:val="20"/>
                <w:szCs w:val="20"/>
              </w:rPr>
              <w:t>R$ 5.601,18</w:t>
            </w:r>
          </w:p>
        </w:tc>
        <w:tc>
          <w:tcPr>
            <w:tcW w:w="1580" w:type="dxa"/>
            <w:vAlign w:val="center"/>
          </w:tcPr>
          <w:p w14:paraId="138D3303" w14:textId="77777777" w:rsidR="00476327" w:rsidRPr="002F2CED" w:rsidRDefault="00476327" w:rsidP="00B24ABD">
            <w:pPr>
              <w:pStyle w:val="Default"/>
              <w:ind w:right="-1"/>
              <w:jc w:val="center"/>
              <w:rPr>
                <w:color w:val="auto"/>
                <w:sz w:val="20"/>
                <w:szCs w:val="20"/>
              </w:rPr>
            </w:pPr>
            <w:r w:rsidRPr="00E35E13">
              <w:rPr>
                <w:color w:val="auto"/>
                <w:sz w:val="20"/>
                <w:szCs w:val="20"/>
              </w:rPr>
              <w:t>R$ 5.601,18</w:t>
            </w:r>
          </w:p>
        </w:tc>
      </w:tr>
      <w:bookmarkEnd w:id="7"/>
    </w:tbl>
    <w:p w14:paraId="02B0BA4A" w14:textId="77777777" w:rsidR="00736F06" w:rsidRDefault="00736F06"/>
    <w:sectPr w:rsidR="00736F06">
      <w:headerReference w:type="default" r:id="rId8"/>
      <w:pgSz w:w="11910" w:h="16840"/>
      <w:pgMar w:top="2500" w:right="1020" w:bottom="280" w:left="160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CAD7" w14:textId="77777777" w:rsidR="009D159A" w:rsidRDefault="009D159A">
      <w:r>
        <w:separator/>
      </w:r>
    </w:p>
  </w:endnote>
  <w:endnote w:type="continuationSeparator" w:id="0">
    <w:p w14:paraId="77252E7D" w14:textId="77777777" w:rsidR="009D159A" w:rsidRDefault="009D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0E82" w14:textId="77777777" w:rsidR="009D159A" w:rsidRDefault="009D159A">
      <w:r>
        <w:separator/>
      </w:r>
    </w:p>
  </w:footnote>
  <w:footnote w:type="continuationSeparator" w:id="0">
    <w:p w14:paraId="22CDDFAE" w14:textId="77777777" w:rsidR="009D159A" w:rsidRDefault="009D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F9A7" w14:textId="77777777" w:rsidR="009E52E2" w:rsidRDefault="00736F0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2816" behindDoc="1" locked="0" layoutInCell="1" allowOverlap="1" wp14:anchorId="3FD64BB5" wp14:editId="1B2338BF">
          <wp:simplePos x="0" y="0"/>
          <wp:positionH relativeFrom="page">
            <wp:posOffset>1594580</wp:posOffset>
          </wp:positionH>
          <wp:positionV relativeFrom="page">
            <wp:posOffset>361187</wp:posOffset>
          </wp:positionV>
          <wp:extent cx="1545875" cy="11142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5875" cy="1114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3328" behindDoc="1" locked="0" layoutInCell="1" allowOverlap="1" wp14:anchorId="3144B0A2" wp14:editId="33390800">
          <wp:simplePos x="0" y="0"/>
          <wp:positionH relativeFrom="page">
            <wp:posOffset>4537964</wp:posOffset>
          </wp:positionH>
          <wp:positionV relativeFrom="page">
            <wp:posOffset>361187</wp:posOffset>
          </wp:positionV>
          <wp:extent cx="1585594" cy="12371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5594" cy="123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0220"/>
    <w:multiLevelType w:val="hybridMultilevel"/>
    <w:tmpl w:val="5FD4DDF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2E02"/>
    <w:multiLevelType w:val="hybridMultilevel"/>
    <w:tmpl w:val="8120459C"/>
    <w:lvl w:ilvl="0" w:tplc="DC541C36">
      <w:start w:val="1"/>
      <w:numFmt w:val="decimal"/>
      <w:lvlText w:val="%1."/>
      <w:lvlJc w:val="left"/>
      <w:pPr>
        <w:ind w:left="708" w:hanging="70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7"/>
        <w:szCs w:val="27"/>
        <w:lang w:val="pt-PT" w:eastAsia="en-US" w:bidi="ar-SA"/>
      </w:rPr>
    </w:lvl>
    <w:lvl w:ilvl="1" w:tplc="B17A47BC">
      <w:numFmt w:val="bullet"/>
      <w:lvlText w:val="•"/>
      <w:lvlJc w:val="left"/>
      <w:pPr>
        <w:ind w:left="1564" w:hanging="708"/>
      </w:pPr>
      <w:rPr>
        <w:rFonts w:hint="default"/>
        <w:lang w:val="pt-PT" w:eastAsia="en-US" w:bidi="ar-SA"/>
      </w:rPr>
    </w:lvl>
    <w:lvl w:ilvl="2" w:tplc="84AE8906">
      <w:numFmt w:val="bullet"/>
      <w:lvlText w:val="•"/>
      <w:lvlJc w:val="left"/>
      <w:pPr>
        <w:ind w:left="2411" w:hanging="708"/>
      </w:pPr>
      <w:rPr>
        <w:rFonts w:hint="default"/>
        <w:lang w:val="pt-PT" w:eastAsia="en-US" w:bidi="ar-SA"/>
      </w:rPr>
    </w:lvl>
    <w:lvl w:ilvl="3" w:tplc="0E8C4E8C">
      <w:numFmt w:val="bullet"/>
      <w:lvlText w:val="•"/>
      <w:lvlJc w:val="left"/>
      <w:pPr>
        <w:ind w:left="3257" w:hanging="708"/>
      </w:pPr>
      <w:rPr>
        <w:rFonts w:hint="default"/>
        <w:lang w:val="pt-PT" w:eastAsia="en-US" w:bidi="ar-SA"/>
      </w:rPr>
    </w:lvl>
    <w:lvl w:ilvl="4" w:tplc="E8CA2AB8">
      <w:numFmt w:val="bullet"/>
      <w:lvlText w:val="•"/>
      <w:lvlJc w:val="left"/>
      <w:pPr>
        <w:ind w:left="4104" w:hanging="708"/>
      </w:pPr>
      <w:rPr>
        <w:rFonts w:hint="default"/>
        <w:lang w:val="pt-PT" w:eastAsia="en-US" w:bidi="ar-SA"/>
      </w:rPr>
    </w:lvl>
    <w:lvl w:ilvl="5" w:tplc="27E25518">
      <w:numFmt w:val="bullet"/>
      <w:lvlText w:val="•"/>
      <w:lvlJc w:val="left"/>
      <w:pPr>
        <w:ind w:left="4951" w:hanging="708"/>
      </w:pPr>
      <w:rPr>
        <w:rFonts w:hint="default"/>
        <w:lang w:val="pt-PT" w:eastAsia="en-US" w:bidi="ar-SA"/>
      </w:rPr>
    </w:lvl>
    <w:lvl w:ilvl="6" w:tplc="D8C239A2">
      <w:numFmt w:val="bullet"/>
      <w:lvlText w:val="•"/>
      <w:lvlJc w:val="left"/>
      <w:pPr>
        <w:ind w:left="5797" w:hanging="708"/>
      </w:pPr>
      <w:rPr>
        <w:rFonts w:hint="default"/>
        <w:lang w:val="pt-PT" w:eastAsia="en-US" w:bidi="ar-SA"/>
      </w:rPr>
    </w:lvl>
    <w:lvl w:ilvl="7" w:tplc="78DAA6FA">
      <w:numFmt w:val="bullet"/>
      <w:lvlText w:val="•"/>
      <w:lvlJc w:val="left"/>
      <w:pPr>
        <w:ind w:left="6644" w:hanging="708"/>
      </w:pPr>
      <w:rPr>
        <w:rFonts w:hint="default"/>
        <w:lang w:val="pt-PT" w:eastAsia="en-US" w:bidi="ar-SA"/>
      </w:rPr>
    </w:lvl>
    <w:lvl w:ilvl="8" w:tplc="5544AC5E">
      <w:numFmt w:val="bullet"/>
      <w:lvlText w:val="•"/>
      <w:lvlJc w:val="left"/>
      <w:pPr>
        <w:ind w:left="7491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17BB28D1"/>
    <w:multiLevelType w:val="multilevel"/>
    <w:tmpl w:val="AA8AF23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right"/>
      <w:pPr>
        <w:ind w:left="928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3" w15:restartNumberingAfterBreak="0">
    <w:nsid w:val="185E0089"/>
    <w:multiLevelType w:val="multilevel"/>
    <w:tmpl w:val="534AD0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E2"/>
    <w:rsid w:val="00235818"/>
    <w:rsid w:val="00237072"/>
    <w:rsid w:val="00476327"/>
    <w:rsid w:val="004A676C"/>
    <w:rsid w:val="0056317B"/>
    <w:rsid w:val="00736F06"/>
    <w:rsid w:val="009D159A"/>
    <w:rsid w:val="009E52E2"/>
    <w:rsid w:val="00EB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5988"/>
  <w15:docId w15:val="{8C7D0974-8045-4B92-8394-76D14FF1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810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810" w:hanging="708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Arial" w:eastAsia="Arial" w:hAnsi="Arial" w:cs="Arial"/>
    </w:rPr>
  </w:style>
  <w:style w:type="paragraph" w:customStyle="1" w:styleId="Default">
    <w:name w:val="Default"/>
    <w:rsid w:val="0047632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  <w14:ligatures w14:val="standardContextual"/>
    </w:rPr>
  </w:style>
  <w:style w:type="table" w:styleId="Tabelacomgrade">
    <w:name w:val="Table Grid"/>
    <w:basedOn w:val="Tabelanormal"/>
    <w:uiPriority w:val="39"/>
    <w:rsid w:val="00476327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A394A-DF87-4AC5-9B3B-BB59D536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1103</Words>
  <Characters>5958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Farol</dc:creator>
  <cp:lastModifiedBy>Cliente Farol</cp:lastModifiedBy>
  <cp:revision>2</cp:revision>
  <dcterms:created xsi:type="dcterms:W3CDTF">2024-11-14T11:22:00Z</dcterms:created>
  <dcterms:modified xsi:type="dcterms:W3CDTF">2024-11-14T11:22:00Z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