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263E" w14:textId="2E8DC121" w:rsidR="0070362F" w:rsidRDefault="0070362F" w:rsidP="0070362F">
      <w:pPr>
        <w:pStyle w:val="Default"/>
        <w:jc w:val="both"/>
        <w:rPr>
          <w:b/>
          <w:bCs/>
        </w:rPr>
      </w:pPr>
      <w:r w:rsidRPr="00EC453C">
        <w:rPr>
          <w:b/>
          <w:bCs/>
        </w:rPr>
        <w:t>LEI COMPLEMENTAR Nº 0</w:t>
      </w:r>
      <w:r w:rsidR="00B07EEC">
        <w:rPr>
          <w:b/>
          <w:bCs/>
        </w:rPr>
        <w:t>5</w:t>
      </w:r>
      <w:r w:rsidR="00325B0C">
        <w:rPr>
          <w:b/>
          <w:bCs/>
        </w:rPr>
        <w:t>2</w:t>
      </w:r>
      <w:r w:rsidRPr="00EC453C">
        <w:rPr>
          <w:b/>
          <w:bCs/>
        </w:rPr>
        <w:t xml:space="preserve">, DE </w:t>
      </w:r>
      <w:r w:rsidR="00325B0C">
        <w:rPr>
          <w:b/>
          <w:bCs/>
        </w:rPr>
        <w:t>10 DE NOVEMBRO</w:t>
      </w:r>
      <w:r w:rsidRPr="00EC453C">
        <w:rPr>
          <w:b/>
          <w:bCs/>
        </w:rPr>
        <w:t xml:space="preserve"> DE 2021. </w:t>
      </w:r>
    </w:p>
    <w:p w14:paraId="2630DFF7" w14:textId="3C0CBF87" w:rsidR="005F13B4" w:rsidRDefault="005F13B4" w:rsidP="0070362F">
      <w:pPr>
        <w:pStyle w:val="Default"/>
        <w:jc w:val="both"/>
        <w:rPr>
          <w:b/>
          <w:bCs/>
        </w:rPr>
      </w:pPr>
    </w:p>
    <w:p w14:paraId="501C6BBE" w14:textId="77777777" w:rsidR="005F13B4" w:rsidRPr="00EC453C" w:rsidRDefault="005F13B4" w:rsidP="0070362F">
      <w:pPr>
        <w:pStyle w:val="Default"/>
        <w:jc w:val="both"/>
        <w:rPr>
          <w:b/>
          <w:bCs/>
        </w:rPr>
      </w:pPr>
    </w:p>
    <w:p w14:paraId="3FE85876" w14:textId="77777777" w:rsidR="0070362F" w:rsidRPr="00EC453C" w:rsidRDefault="0070362F" w:rsidP="0070362F">
      <w:pPr>
        <w:pStyle w:val="Default"/>
        <w:jc w:val="both"/>
      </w:pPr>
    </w:p>
    <w:p w14:paraId="5AA7D75A" w14:textId="1FF4D3AE" w:rsidR="009548B4" w:rsidRPr="00325B0C" w:rsidRDefault="00325B0C" w:rsidP="00325B0C">
      <w:pPr>
        <w:ind w:left="2268"/>
        <w:jc w:val="both"/>
        <w:rPr>
          <w:rFonts w:ascii="Arial" w:hAnsi="Arial" w:cs="Arial"/>
          <w:b/>
          <w:bCs/>
          <w:sz w:val="23"/>
          <w:szCs w:val="23"/>
        </w:rPr>
      </w:pPr>
      <w:r w:rsidRPr="00325B0C">
        <w:rPr>
          <w:rFonts w:ascii="Arial" w:hAnsi="Arial" w:cs="Arial"/>
          <w:b/>
          <w:bCs/>
          <w:sz w:val="23"/>
          <w:szCs w:val="23"/>
        </w:rPr>
        <w:t>AUTORIZA O PODER EXECUTIVO MUNICIPAL A CONCECER ABONO-FUNDEB AOS PROFISSIONAIS DA EDUCAÇÃO EM EFETIVO EXERC</w:t>
      </w:r>
      <w:r w:rsidR="00A46792">
        <w:rPr>
          <w:rFonts w:ascii="Arial" w:hAnsi="Arial" w:cs="Arial"/>
          <w:b/>
          <w:bCs/>
          <w:sz w:val="23"/>
          <w:szCs w:val="23"/>
        </w:rPr>
        <w:t>Í</w:t>
      </w:r>
      <w:r w:rsidRPr="00325B0C">
        <w:rPr>
          <w:rFonts w:ascii="Arial" w:hAnsi="Arial" w:cs="Arial"/>
          <w:b/>
          <w:bCs/>
          <w:sz w:val="23"/>
          <w:szCs w:val="23"/>
        </w:rPr>
        <w:t>CIO NA REDE MUNICIPAL DE ENSINO BÁSICO DE PASSO DE TORRES SC COMO MEDIDA EXCEPCIONAL DESTINADA A PROMOVER O CUMPRIMENTO DO DISPOSITIVO NO ARTIGO 212-A, INCISO XI, DA CONSTITUIÇÃO FEDERAL E DA OUTRAS PROVIDENCIAS.</w:t>
      </w:r>
    </w:p>
    <w:p w14:paraId="7D69F0B3" w14:textId="77777777" w:rsidR="00325B0C" w:rsidRPr="00EE49AA" w:rsidRDefault="00325B0C" w:rsidP="00325B0C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14:paraId="23A83EEC" w14:textId="1E4D5313" w:rsidR="00EC453C" w:rsidRPr="00325B0C" w:rsidRDefault="00EC453C" w:rsidP="00A46792">
      <w:pPr>
        <w:pStyle w:val="Default"/>
        <w:spacing w:line="360" w:lineRule="auto"/>
        <w:jc w:val="both"/>
      </w:pPr>
      <w:r w:rsidRPr="00325B0C">
        <w:t>O Prefeito Valmir Augusto Rodrigues, no exercício das atribuições que lhe confere a Lei Orgânica, faz saber a todos os habitantes do Município, que a Câmara de Vereadores aprovou e ele sanciona a seguinte Lei:</w:t>
      </w:r>
    </w:p>
    <w:p w14:paraId="1778BE18" w14:textId="0E216F6B" w:rsidR="00325B0C" w:rsidRPr="00325B0C" w:rsidRDefault="00325B0C" w:rsidP="00A46792">
      <w:pPr>
        <w:pStyle w:val="Default"/>
        <w:spacing w:line="360" w:lineRule="auto"/>
        <w:jc w:val="both"/>
      </w:pPr>
    </w:p>
    <w:p w14:paraId="2A1DCBA5" w14:textId="10A0CD88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b/>
          <w:bCs/>
          <w:shd w:val="clear" w:color="auto" w:fill="FFFFFF"/>
        </w:rPr>
        <w:t>Art. 1º.</w:t>
      </w:r>
      <w:r w:rsidRPr="00325B0C">
        <w:rPr>
          <w:shd w:val="clear" w:color="auto" w:fill="FFFFFF"/>
        </w:rPr>
        <w:t xml:space="preserve"> Fica autorizado o Poder Executivo Municipal a conceder abono excepcional,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em duas parcelas, aos profissionais da educação, em efetivo exercício do cargo 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lotados na Secretaria de Municipal de Educação.</w:t>
      </w:r>
    </w:p>
    <w:p w14:paraId="280A9600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§ 1º.</w:t>
      </w:r>
      <w:r w:rsidRPr="00325B0C">
        <w:rPr>
          <w:shd w:val="clear" w:color="auto" w:fill="FFFFFF"/>
        </w:rPr>
        <w:t xml:space="preserve"> O abono de que trata esta Lei será estendido aos servidores contratados por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tempo determinado para atender à necessidade temporária de excepcional interesse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público.</w:t>
      </w:r>
    </w:p>
    <w:p w14:paraId="376D983B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§ 2º.</w:t>
      </w:r>
      <w:r w:rsidRPr="00325B0C">
        <w:rPr>
          <w:shd w:val="clear" w:color="auto" w:fill="FFFFFF"/>
        </w:rPr>
        <w:t xml:space="preserve"> O valor do abono excepcional será fixado por Decreto do Chefe do Poder</w:t>
      </w:r>
      <w:r w:rsidRPr="00325B0C">
        <w:br/>
      </w:r>
      <w:r w:rsidRPr="00325B0C">
        <w:rPr>
          <w:shd w:val="clear" w:color="auto" w:fill="FFFFFF"/>
        </w:rPr>
        <w:t>Executivo, observados os seguintes parâmetros:</w:t>
      </w:r>
    </w:p>
    <w:p w14:paraId="760B77F4" w14:textId="244BF99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 xml:space="preserve">I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O abono excepcional de que trata esta lei será constituído do valor</w:t>
      </w:r>
      <w:r w:rsidRPr="00325B0C">
        <w:br/>
      </w:r>
      <w:r w:rsidRPr="00325B0C">
        <w:rPr>
          <w:shd w:val="clear" w:color="auto" w:fill="FFFFFF"/>
        </w:rPr>
        <w:t>correspondente a 65% do valor necessário para cumprimento da aplicação mínima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da remuneração dos profissionais da educação, nos termos da Lei Nacional nº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14.113, de 25 dezembro de 2020, e pagos, em primeira parcela, aos profissionais da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educação em partes iguais, com base nos princípios da isonomia e impessoalidade,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proporcional à carga horária dos servidores, respectivamente de 10h, 20h, 30h 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40h.</w:t>
      </w:r>
    </w:p>
    <w:p w14:paraId="698FCDC7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</w:p>
    <w:p w14:paraId="74F9BF73" w14:textId="22A57EF2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b/>
          <w:bCs/>
          <w:shd w:val="clear" w:color="auto" w:fill="FFFFFF"/>
        </w:rPr>
        <w:t xml:space="preserve">II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O saldo remanescente para cumprimento da aplicação mínima da remuneração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dos profissionais da educação, nos termos da Lei Nacional nº 14.113, de 25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 xml:space="preserve">dezembro de 2020, será dividido entre os profissionais da </w:t>
      </w:r>
      <w:r w:rsidRPr="00325B0C">
        <w:rPr>
          <w:shd w:val="clear" w:color="auto" w:fill="FFFFFF"/>
        </w:rPr>
        <w:lastRenderedPageBreak/>
        <w:t>educação de acordo com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o tempo se serviço, proporcional à carga horária, e pagos em segunda parcela,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observados os seguintes parâmetros:</w:t>
      </w:r>
    </w:p>
    <w:p w14:paraId="2B9425BF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shd w:val="clear" w:color="auto" w:fill="FFFFFF"/>
        </w:rPr>
        <w:t>a) 50% (cinquenta por cento) do saldo remanescente para quem tem até dois</w:t>
      </w:r>
      <w:r w:rsidRPr="00325B0C">
        <w:br/>
      </w:r>
      <w:r w:rsidRPr="00325B0C">
        <w:rPr>
          <w:shd w:val="clear" w:color="auto" w:fill="FFFFFF"/>
        </w:rPr>
        <w:t>anos ininterruptos de efetivo exercício;</w:t>
      </w:r>
    </w:p>
    <w:p w14:paraId="1E1E08ED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shd w:val="clear" w:color="auto" w:fill="FFFFFF"/>
        </w:rPr>
        <w:t>b) 23% (vinte e três por cento) do saldo remanescente para quem tem até dez</w:t>
      </w:r>
      <w:r w:rsidRPr="00325B0C">
        <w:br/>
      </w:r>
      <w:r w:rsidRPr="00325B0C">
        <w:rPr>
          <w:shd w:val="clear" w:color="auto" w:fill="FFFFFF"/>
        </w:rPr>
        <w:t>anos de efetivo exercício;</w:t>
      </w:r>
    </w:p>
    <w:p w14:paraId="2A11ED5A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shd w:val="clear" w:color="auto" w:fill="FFFFFF"/>
        </w:rPr>
        <w:t>c) 20% (vinte) do saldo remanescente para quem tem até vinte anos de efetivo</w:t>
      </w:r>
      <w:r w:rsidRPr="00325B0C">
        <w:br/>
      </w:r>
      <w:r w:rsidRPr="00325B0C">
        <w:rPr>
          <w:shd w:val="clear" w:color="auto" w:fill="FFFFFF"/>
        </w:rPr>
        <w:t>exercício;</w:t>
      </w:r>
      <w:r w:rsidRPr="00325B0C">
        <w:br/>
      </w:r>
      <w:r w:rsidRPr="00325B0C">
        <w:rPr>
          <w:shd w:val="clear" w:color="auto" w:fill="FFFFFF"/>
        </w:rPr>
        <w:t>d) 7% (sete) do saldo remanescente para quem tem mais de vinte anos de</w:t>
      </w:r>
      <w:r w:rsidRPr="00325B0C">
        <w:br/>
      </w:r>
      <w:r w:rsidRPr="00325B0C">
        <w:rPr>
          <w:shd w:val="clear" w:color="auto" w:fill="FFFFFF"/>
        </w:rPr>
        <w:t>efetivo exercício.</w:t>
      </w:r>
    </w:p>
    <w:p w14:paraId="5146B966" w14:textId="1723AF63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 xml:space="preserve">III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Para concessão do abono excepcional, excluem-se do cálculo as aulas</w:t>
      </w:r>
      <w:r w:rsidRPr="00325B0C">
        <w:br/>
      </w:r>
      <w:r w:rsidRPr="00325B0C">
        <w:rPr>
          <w:shd w:val="clear" w:color="auto" w:fill="FFFFFF"/>
        </w:rPr>
        <w:t>excedentes.</w:t>
      </w:r>
    </w:p>
    <w:p w14:paraId="21D8AB28" w14:textId="5F5B6B88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 xml:space="preserve">IV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A concessão do abono excepcional se aplica somente aos servidores em efetivo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exercício, nos termos do art. 26, inciso II, da Lei Nacional nº 14.113, de 25 dezembro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de 2020, assim considerados os servidores com atuação efetiva no desempenho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das atividades dos profissionais referidos no §3º deste artigo, associada à regular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vinculação contratual, temporária ou estatutária com o Município de Passo de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Torres, não descaracterizada por eventuais afastamentos temporários previstos em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lei com ônus para o empregador que não impliquem rompimento da relação jurídica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existente.</w:t>
      </w:r>
    </w:p>
    <w:p w14:paraId="46D66438" w14:textId="1EE6DE78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 xml:space="preserve">V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Excluem-se desta lei os servidores inativos, nos termos do art. 29, inciso II, da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Lei Nacional nº 14.113, de 25 dezembro de 2020, bem como os profissionais</w:t>
      </w:r>
      <w:r w:rsidRPr="00325B0C">
        <w:br/>
      </w:r>
      <w:r w:rsidRPr="00325B0C">
        <w:rPr>
          <w:shd w:val="clear" w:color="auto" w:fill="FFFFFF"/>
        </w:rPr>
        <w:t>afastados sem ônus para o Município de Passo de Torres.</w:t>
      </w:r>
    </w:p>
    <w:p w14:paraId="4D70948C" w14:textId="4089517D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 xml:space="preserve">VI </w:t>
      </w:r>
      <w:r w:rsidR="00A46792" w:rsidRPr="00325B0C">
        <w:rPr>
          <w:b/>
          <w:bCs/>
          <w:shd w:val="clear" w:color="auto" w:fill="FFFFFF"/>
        </w:rPr>
        <w:t>–</w:t>
      </w:r>
      <w:r w:rsidRPr="00325B0C">
        <w:rPr>
          <w:shd w:val="clear" w:color="auto" w:fill="FFFFFF"/>
        </w:rPr>
        <w:t xml:space="preserve"> Excluem-se desta lei os servidores que forem admitidos após 30 de setembro de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2021.</w:t>
      </w:r>
    </w:p>
    <w:p w14:paraId="46525F07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§ 3º.</w:t>
      </w:r>
      <w:r w:rsidRPr="00325B0C">
        <w:rPr>
          <w:shd w:val="clear" w:color="auto" w:fill="FFFFFF"/>
        </w:rPr>
        <w:t xml:space="preserve"> Consideram-se profissionais do magistério da educação aqueles relacionados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no inciso II do parágrafo único do art. 26 da Lei Nacional nº 14.113, de 25 dezembro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de 2020, que Regulamenta o Fundo de Manutenção e Desenvolvimento da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Educação Básica e de Valorização dos Profissionais da Educação (Fundeb).</w:t>
      </w:r>
      <w:r>
        <w:rPr>
          <w:shd w:val="clear" w:color="auto" w:fill="FFFFFF"/>
        </w:rPr>
        <w:t xml:space="preserve"> </w:t>
      </w:r>
    </w:p>
    <w:p w14:paraId="6604D2D1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Art. 2º.</w:t>
      </w:r>
      <w:r w:rsidRPr="00325B0C">
        <w:rPr>
          <w:shd w:val="clear" w:color="auto" w:fill="FFFFFF"/>
        </w:rPr>
        <w:t xml:space="preserve"> O benefício instituído por esta lei:</w:t>
      </w:r>
    </w:p>
    <w:p w14:paraId="61C376D8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I –</w:t>
      </w:r>
      <w:r w:rsidRPr="00325B0C">
        <w:rPr>
          <w:shd w:val="clear" w:color="auto" w:fill="FFFFFF"/>
        </w:rPr>
        <w:t xml:space="preserve"> Tem natureza indenizatória;</w:t>
      </w:r>
    </w:p>
    <w:p w14:paraId="4E8222CE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II –</w:t>
      </w:r>
      <w:r w:rsidRPr="00325B0C">
        <w:rPr>
          <w:shd w:val="clear" w:color="auto" w:fill="FFFFFF"/>
        </w:rPr>
        <w:t xml:space="preserve"> Não tem natureza salarial ou remuneratória;</w:t>
      </w:r>
    </w:p>
    <w:p w14:paraId="0F318AE8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lastRenderedPageBreak/>
        <w:br/>
      </w:r>
      <w:r w:rsidRPr="00325B0C">
        <w:rPr>
          <w:b/>
          <w:bCs/>
          <w:shd w:val="clear" w:color="auto" w:fill="FFFFFF"/>
        </w:rPr>
        <w:t>III –</w:t>
      </w:r>
      <w:r w:rsidRPr="00325B0C">
        <w:rPr>
          <w:shd w:val="clear" w:color="auto" w:fill="FFFFFF"/>
        </w:rPr>
        <w:t xml:space="preserve"> Não se incorpora à remuneração do servidor para quaisquer efeitos;</w:t>
      </w:r>
    </w:p>
    <w:p w14:paraId="6A2C34AF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IV –</w:t>
      </w:r>
      <w:r w:rsidRPr="00325B0C">
        <w:rPr>
          <w:shd w:val="clear" w:color="auto" w:fill="FFFFFF"/>
        </w:rPr>
        <w:t xml:space="preserve"> Não é considerado para efeito do pagamento do 13º (décimo terceiro) salário 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férias;</w:t>
      </w:r>
    </w:p>
    <w:p w14:paraId="58BAC1EB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</w:p>
    <w:p w14:paraId="67577257" w14:textId="42F62AEF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b/>
          <w:bCs/>
          <w:shd w:val="clear" w:color="auto" w:fill="FFFFFF"/>
        </w:rPr>
        <w:t>V –</w:t>
      </w:r>
      <w:r w:rsidRPr="00325B0C">
        <w:rPr>
          <w:shd w:val="clear" w:color="auto" w:fill="FFFFFF"/>
        </w:rPr>
        <w:t xml:space="preserve"> Não constitui base de cálculo de contribuição previdenciária ou de assistência à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saúde;</w:t>
      </w:r>
    </w:p>
    <w:p w14:paraId="78D9DBE0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</w:p>
    <w:p w14:paraId="364A6839" w14:textId="77777777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rPr>
          <w:b/>
          <w:bCs/>
          <w:shd w:val="clear" w:color="auto" w:fill="FFFFFF"/>
        </w:rPr>
        <w:t>VI –</w:t>
      </w:r>
      <w:r w:rsidRPr="00325B0C">
        <w:rPr>
          <w:shd w:val="clear" w:color="auto" w:fill="FFFFFF"/>
        </w:rPr>
        <w:t xml:space="preserve"> Não configura rendimento tributável ao servidor.</w:t>
      </w:r>
    </w:p>
    <w:p w14:paraId="03E238FF" w14:textId="1979D1BB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Art. 3º.</w:t>
      </w:r>
      <w:r w:rsidRPr="00325B0C">
        <w:rPr>
          <w:shd w:val="clear" w:color="auto" w:fill="FFFFFF"/>
        </w:rPr>
        <w:t xml:space="preserve"> As despesas decorrentes da presente Lei correrão por conta das dotações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orçamentárias próprias do elemento de despesa de pessoal da Secretaria Municipal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de Educação, vinculados aos recursos do Fundeb, observando-se o que dispõe 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art. 212-A da Constituição Federal, inserido pela Emenda Constitucional nº 108, de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2020, que estabeleceu 70% (setenta por cento) do novo Fundeb para remunerarão</w:t>
      </w:r>
      <w:r>
        <w:rPr>
          <w:shd w:val="clear" w:color="auto" w:fill="FFFFFF"/>
        </w:rPr>
        <w:t xml:space="preserve"> </w:t>
      </w:r>
      <w:r w:rsidRPr="00325B0C">
        <w:rPr>
          <w:shd w:val="clear" w:color="auto" w:fill="FFFFFF"/>
        </w:rPr>
        <w:t>os profissionais da educação básica.</w:t>
      </w:r>
    </w:p>
    <w:p w14:paraId="62874C9D" w14:textId="716FA25C" w:rsidR="00325B0C" w:rsidRDefault="00325B0C" w:rsidP="00A46792">
      <w:pPr>
        <w:pStyle w:val="Default"/>
        <w:spacing w:line="360" w:lineRule="auto"/>
        <w:jc w:val="both"/>
        <w:rPr>
          <w:shd w:val="clear" w:color="auto" w:fill="FFFFFF"/>
        </w:rPr>
      </w:pPr>
      <w:r w:rsidRPr="00325B0C">
        <w:br/>
      </w:r>
      <w:r w:rsidRPr="00325B0C">
        <w:rPr>
          <w:b/>
          <w:bCs/>
          <w:shd w:val="clear" w:color="auto" w:fill="FFFFFF"/>
        </w:rPr>
        <w:t>Art. 4º.</w:t>
      </w:r>
      <w:r w:rsidRPr="00325B0C">
        <w:rPr>
          <w:shd w:val="clear" w:color="auto" w:fill="FFFFFF"/>
        </w:rPr>
        <w:t xml:space="preserve"> Esta Lei entra em vigor na data de sua publicação.</w:t>
      </w:r>
    </w:p>
    <w:p w14:paraId="33BC2766" w14:textId="7B92FBBF" w:rsidR="00325B0C" w:rsidRPr="00325B0C" w:rsidRDefault="00325B0C" w:rsidP="00A46792">
      <w:pPr>
        <w:pStyle w:val="Default"/>
        <w:spacing w:line="360" w:lineRule="auto"/>
        <w:jc w:val="both"/>
      </w:pPr>
      <w:r w:rsidRPr="00325B0C">
        <w:br/>
      </w:r>
      <w:r w:rsidRPr="00325B0C">
        <w:rPr>
          <w:b/>
          <w:bCs/>
          <w:shd w:val="clear" w:color="auto" w:fill="FFFFFF"/>
        </w:rPr>
        <w:t>Art. 5º.</w:t>
      </w:r>
      <w:r w:rsidRPr="00325B0C">
        <w:rPr>
          <w:shd w:val="clear" w:color="auto" w:fill="FFFFFF"/>
        </w:rPr>
        <w:t xml:space="preserve"> Revogam-se as disposições em contrário.</w:t>
      </w:r>
    </w:p>
    <w:p w14:paraId="41869A5F" w14:textId="63DD128A" w:rsidR="00B07EEC" w:rsidRDefault="00B07EEC" w:rsidP="0070362F">
      <w:pPr>
        <w:pStyle w:val="Default"/>
        <w:jc w:val="both"/>
      </w:pPr>
    </w:p>
    <w:p w14:paraId="4728FCA1" w14:textId="77777777" w:rsidR="005F13B4" w:rsidRDefault="005F13B4" w:rsidP="009548B4">
      <w:pPr>
        <w:pStyle w:val="Default"/>
        <w:jc w:val="right"/>
      </w:pPr>
    </w:p>
    <w:p w14:paraId="6B70D86A" w14:textId="10801FB6" w:rsidR="00EC453C" w:rsidRPr="00EC453C" w:rsidRDefault="00EC453C" w:rsidP="009548B4">
      <w:pPr>
        <w:pStyle w:val="Default"/>
        <w:jc w:val="right"/>
      </w:pPr>
      <w:r>
        <w:t xml:space="preserve">Passo de Torres/SC, </w:t>
      </w:r>
      <w:r w:rsidR="00325B0C">
        <w:t>10 de novembro</w:t>
      </w:r>
      <w:r w:rsidR="00B07EEC">
        <w:t xml:space="preserve"> de 2021. </w:t>
      </w:r>
      <w:r>
        <w:t xml:space="preserve"> </w:t>
      </w:r>
    </w:p>
    <w:p w14:paraId="32B5EC02" w14:textId="77777777" w:rsidR="0070362F" w:rsidRPr="00EC453C" w:rsidRDefault="0070362F" w:rsidP="00DA7099">
      <w:pPr>
        <w:pStyle w:val="Default"/>
      </w:pPr>
    </w:p>
    <w:p w14:paraId="49C10BC9" w14:textId="77777777" w:rsidR="0070362F" w:rsidRPr="00EC453C" w:rsidRDefault="0070362F" w:rsidP="00DA7099">
      <w:pPr>
        <w:pStyle w:val="Default"/>
      </w:pPr>
    </w:p>
    <w:p w14:paraId="6780A824" w14:textId="77777777" w:rsidR="00DA7099" w:rsidRPr="00EC453C" w:rsidRDefault="00DA7099" w:rsidP="00DA7099">
      <w:pPr>
        <w:pStyle w:val="Default"/>
        <w:jc w:val="center"/>
      </w:pPr>
    </w:p>
    <w:p w14:paraId="5A6894A6" w14:textId="77777777" w:rsidR="009548B4" w:rsidRPr="005374BD" w:rsidRDefault="009548B4" w:rsidP="009548B4">
      <w:pPr>
        <w:pStyle w:val="Ttulo1"/>
        <w:kinsoku w:val="0"/>
        <w:overflowPunct w:val="0"/>
        <w:jc w:val="center"/>
        <w:rPr>
          <w:sz w:val="26"/>
          <w:szCs w:val="26"/>
        </w:rPr>
      </w:pPr>
      <w:r w:rsidRPr="005374BD">
        <w:rPr>
          <w:sz w:val="26"/>
          <w:szCs w:val="26"/>
        </w:rPr>
        <w:t>VALMIR AUGUSTO RODRIGUES</w:t>
      </w:r>
    </w:p>
    <w:p w14:paraId="791B91C6" w14:textId="77777777" w:rsidR="009548B4" w:rsidRPr="009548B4" w:rsidRDefault="009548B4" w:rsidP="009548B4">
      <w:pPr>
        <w:pStyle w:val="Ttulo2"/>
        <w:kinsoku w:val="0"/>
        <w:overflowPunct w:val="0"/>
        <w:jc w:val="center"/>
        <w:rPr>
          <w:rFonts w:ascii="Arial" w:hAnsi="Arial" w:cs="Arial"/>
          <w:color w:val="auto"/>
        </w:rPr>
      </w:pPr>
      <w:r w:rsidRPr="009548B4">
        <w:rPr>
          <w:rFonts w:ascii="Arial" w:hAnsi="Arial" w:cs="Arial"/>
          <w:color w:val="auto"/>
        </w:rPr>
        <w:t>Prefeito Municipal</w:t>
      </w:r>
    </w:p>
    <w:p w14:paraId="31B4413B" w14:textId="77777777" w:rsidR="009548B4" w:rsidRDefault="009548B4" w:rsidP="009548B4">
      <w:pPr>
        <w:rPr>
          <w:sz w:val="26"/>
          <w:szCs w:val="26"/>
          <w:lang w:val="x-none" w:eastAsia="x-none"/>
        </w:rPr>
      </w:pPr>
    </w:p>
    <w:p w14:paraId="6747227C" w14:textId="77777777" w:rsidR="009548B4" w:rsidRPr="005374BD" w:rsidRDefault="009548B4" w:rsidP="009548B4">
      <w:pPr>
        <w:pStyle w:val="Corpodetexto"/>
        <w:kinsoku w:val="0"/>
        <w:overflowPunct w:val="0"/>
        <w:spacing w:line="264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5374BD">
        <w:rPr>
          <w:rFonts w:ascii="Arial" w:hAnsi="Arial" w:cs="Arial"/>
          <w:b/>
          <w:bCs/>
          <w:sz w:val="26"/>
          <w:szCs w:val="26"/>
        </w:rPr>
        <w:t>ANTÔNIO SCHEFFER SILVEIRA</w:t>
      </w:r>
    </w:p>
    <w:p w14:paraId="2F02E61C" w14:textId="77777777" w:rsidR="009548B4" w:rsidRPr="005374BD" w:rsidRDefault="009548B4" w:rsidP="009548B4">
      <w:pPr>
        <w:pStyle w:val="Corpodetexto"/>
        <w:kinsoku w:val="0"/>
        <w:overflowPunct w:val="0"/>
        <w:spacing w:line="264" w:lineRule="exact"/>
        <w:jc w:val="center"/>
        <w:rPr>
          <w:rFonts w:ascii="Arial" w:hAnsi="Arial" w:cs="Arial"/>
          <w:sz w:val="26"/>
          <w:szCs w:val="26"/>
        </w:rPr>
      </w:pPr>
      <w:r w:rsidRPr="005374BD">
        <w:rPr>
          <w:rFonts w:ascii="Arial" w:hAnsi="Arial" w:cs="Arial"/>
          <w:sz w:val="26"/>
          <w:szCs w:val="26"/>
        </w:rPr>
        <w:t>Secretário de Administração e Finanças</w:t>
      </w:r>
    </w:p>
    <w:p w14:paraId="39FF4DC6" w14:textId="0F67A22F" w:rsidR="00DD2A03" w:rsidRPr="00EC453C" w:rsidRDefault="00DD2A03" w:rsidP="009548B4">
      <w:pPr>
        <w:pStyle w:val="Default"/>
        <w:jc w:val="center"/>
      </w:pPr>
    </w:p>
    <w:sectPr w:rsidR="00DD2A03" w:rsidRPr="00EC453C" w:rsidSect="001349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136" w14:textId="77777777" w:rsidR="00430516" w:rsidRDefault="00430516" w:rsidP="00E507EC">
      <w:pPr>
        <w:spacing w:after="0" w:line="240" w:lineRule="auto"/>
      </w:pPr>
      <w:r>
        <w:separator/>
      </w:r>
    </w:p>
  </w:endnote>
  <w:endnote w:type="continuationSeparator" w:id="0">
    <w:p w14:paraId="46F640A8" w14:textId="77777777" w:rsidR="00430516" w:rsidRDefault="0043051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9CA5" w14:textId="77777777" w:rsidR="00430516" w:rsidRDefault="00430516" w:rsidP="00E507EC">
      <w:pPr>
        <w:spacing w:after="0" w:line="240" w:lineRule="auto"/>
      </w:pPr>
      <w:r>
        <w:separator/>
      </w:r>
    </w:p>
  </w:footnote>
  <w:footnote w:type="continuationSeparator" w:id="0">
    <w:p w14:paraId="0763DAAA" w14:textId="77777777" w:rsidR="00430516" w:rsidRDefault="0043051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A46792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8064651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PREFEITURA MUNICIPAL DE PASSO DE TORRES</w:t>
    </w:r>
  </w:p>
  <w:p w14:paraId="21F0EEAF" w14:textId="77777777" w:rsidR="001349CD" w:rsidRDefault="001349CD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1349CD" w:rsidRDefault="001349CD" w:rsidP="001B09F3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D"/>
    <w:rsid w:val="00010DC2"/>
    <w:rsid w:val="0002791D"/>
    <w:rsid w:val="00034E4D"/>
    <w:rsid w:val="00042438"/>
    <w:rsid w:val="000427C8"/>
    <w:rsid w:val="00044A0A"/>
    <w:rsid w:val="00053FCD"/>
    <w:rsid w:val="00056286"/>
    <w:rsid w:val="00063745"/>
    <w:rsid w:val="00064CF2"/>
    <w:rsid w:val="00070D49"/>
    <w:rsid w:val="00083AD0"/>
    <w:rsid w:val="00094BE9"/>
    <w:rsid w:val="000A490D"/>
    <w:rsid w:val="000A68E3"/>
    <w:rsid w:val="000D059C"/>
    <w:rsid w:val="000D0997"/>
    <w:rsid w:val="000E2F0C"/>
    <w:rsid w:val="000F38E8"/>
    <w:rsid w:val="00100B6A"/>
    <w:rsid w:val="001010BC"/>
    <w:rsid w:val="00116978"/>
    <w:rsid w:val="001349CD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D252F"/>
    <w:rsid w:val="002D72F1"/>
    <w:rsid w:val="002E6CEC"/>
    <w:rsid w:val="002E6E74"/>
    <w:rsid w:val="002E7E39"/>
    <w:rsid w:val="002F039D"/>
    <w:rsid w:val="002F730A"/>
    <w:rsid w:val="00300793"/>
    <w:rsid w:val="00325B0C"/>
    <w:rsid w:val="00335D6F"/>
    <w:rsid w:val="0034408D"/>
    <w:rsid w:val="0036740D"/>
    <w:rsid w:val="00371EA3"/>
    <w:rsid w:val="003755AE"/>
    <w:rsid w:val="00387770"/>
    <w:rsid w:val="003B097F"/>
    <w:rsid w:val="003B1E0B"/>
    <w:rsid w:val="003B6B68"/>
    <w:rsid w:val="00403705"/>
    <w:rsid w:val="0041062A"/>
    <w:rsid w:val="00415E0E"/>
    <w:rsid w:val="00421302"/>
    <w:rsid w:val="0042678A"/>
    <w:rsid w:val="004300B6"/>
    <w:rsid w:val="00430516"/>
    <w:rsid w:val="00461CF2"/>
    <w:rsid w:val="004914E3"/>
    <w:rsid w:val="004E3741"/>
    <w:rsid w:val="004F3561"/>
    <w:rsid w:val="004F7374"/>
    <w:rsid w:val="005100D0"/>
    <w:rsid w:val="00511D44"/>
    <w:rsid w:val="00571C1F"/>
    <w:rsid w:val="00576999"/>
    <w:rsid w:val="00587685"/>
    <w:rsid w:val="005B418C"/>
    <w:rsid w:val="005D29CE"/>
    <w:rsid w:val="005E36A6"/>
    <w:rsid w:val="005E5B4C"/>
    <w:rsid w:val="005F13B4"/>
    <w:rsid w:val="006047EA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0362F"/>
    <w:rsid w:val="007244DC"/>
    <w:rsid w:val="00733265"/>
    <w:rsid w:val="0074030B"/>
    <w:rsid w:val="0075080F"/>
    <w:rsid w:val="00754462"/>
    <w:rsid w:val="007646B2"/>
    <w:rsid w:val="00775E84"/>
    <w:rsid w:val="007772E4"/>
    <w:rsid w:val="00781BA5"/>
    <w:rsid w:val="007839F9"/>
    <w:rsid w:val="007B46F4"/>
    <w:rsid w:val="007D0C49"/>
    <w:rsid w:val="007E69F1"/>
    <w:rsid w:val="007F29C1"/>
    <w:rsid w:val="007F392C"/>
    <w:rsid w:val="00802B2C"/>
    <w:rsid w:val="0080368F"/>
    <w:rsid w:val="00817879"/>
    <w:rsid w:val="008214E9"/>
    <w:rsid w:val="008339EB"/>
    <w:rsid w:val="0084708B"/>
    <w:rsid w:val="008647B8"/>
    <w:rsid w:val="00867952"/>
    <w:rsid w:val="00887C93"/>
    <w:rsid w:val="008A421C"/>
    <w:rsid w:val="008B31FD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21A72"/>
    <w:rsid w:val="00925811"/>
    <w:rsid w:val="00940CC4"/>
    <w:rsid w:val="00951F40"/>
    <w:rsid w:val="009548B4"/>
    <w:rsid w:val="00956CC3"/>
    <w:rsid w:val="00991ECE"/>
    <w:rsid w:val="0099544B"/>
    <w:rsid w:val="009A3CCA"/>
    <w:rsid w:val="009B2DA8"/>
    <w:rsid w:val="009B3E59"/>
    <w:rsid w:val="009F4154"/>
    <w:rsid w:val="00A043F1"/>
    <w:rsid w:val="00A15B74"/>
    <w:rsid w:val="00A204A8"/>
    <w:rsid w:val="00A34005"/>
    <w:rsid w:val="00A441F5"/>
    <w:rsid w:val="00A44E8A"/>
    <w:rsid w:val="00A46792"/>
    <w:rsid w:val="00A47FBB"/>
    <w:rsid w:val="00A843CE"/>
    <w:rsid w:val="00A9512F"/>
    <w:rsid w:val="00AB14F3"/>
    <w:rsid w:val="00AD4216"/>
    <w:rsid w:val="00AF613D"/>
    <w:rsid w:val="00B06DEA"/>
    <w:rsid w:val="00B07EEC"/>
    <w:rsid w:val="00B22CCA"/>
    <w:rsid w:val="00B3120D"/>
    <w:rsid w:val="00B469E5"/>
    <w:rsid w:val="00B65FA5"/>
    <w:rsid w:val="00B714B6"/>
    <w:rsid w:val="00B748EB"/>
    <w:rsid w:val="00B81291"/>
    <w:rsid w:val="00B90402"/>
    <w:rsid w:val="00BB65EE"/>
    <w:rsid w:val="00BC1812"/>
    <w:rsid w:val="00BC22BA"/>
    <w:rsid w:val="00C0293C"/>
    <w:rsid w:val="00C2063B"/>
    <w:rsid w:val="00C24704"/>
    <w:rsid w:val="00C264A5"/>
    <w:rsid w:val="00C462EB"/>
    <w:rsid w:val="00C5515F"/>
    <w:rsid w:val="00C577C7"/>
    <w:rsid w:val="00C83AE4"/>
    <w:rsid w:val="00CB7D26"/>
    <w:rsid w:val="00D10576"/>
    <w:rsid w:val="00D123C9"/>
    <w:rsid w:val="00D73DBE"/>
    <w:rsid w:val="00DA392A"/>
    <w:rsid w:val="00DA7099"/>
    <w:rsid w:val="00DC1B3E"/>
    <w:rsid w:val="00DD2A03"/>
    <w:rsid w:val="00DE320F"/>
    <w:rsid w:val="00E01EC7"/>
    <w:rsid w:val="00E10200"/>
    <w:rsid w:val="00E2030A"/>
    <w:rsid w:val="00E31D20"/>
    <w:rsid w:val="00E507EC"/>
    <w:rsid w:val="00E6745E"/>
    <w:rsid w:val="00E8159E"/>
    <w:rsid w:val="00EA059A"/>
    <w:rsid w:val="00EA4748"/>
    <w:rsid w:val="00EC453C"/>
    <w:rsid w:val="00EC77EC"/>
    <w:rsid w:val="00ED50FE"/>
    <w:rsid w:val="00EE0625"/>
    <w:rsid w:val="00EE49AA"/>
    <w:rsid w:val="00EF1EC2"/>
    <w:rsid w:val="00F02738"/>
    <w:rsid w:val="00F176FD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833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8339EB"/>
  </w:style>
  <w:style w:type="paragraph" w:customStyle="1" w:styleId="Default">
    <w:name w:val="Default"/>
    <w:rsid w:val="00DA7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">
    <w:name w:val="corpo"/>
    <w:basedOn w:val="Normal"/>
    <w:rsid w:val="00DA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rpodotexto">
    <w:name w:val="Corpo do texto"/>
    <w:basedOn w:val="Normal"/>
    <w:qFormat/>
    <w:rsid w:val="00B07EEC"/>
    <w:pPr>
      <w:suppressAutoHyphens/>
      <w:spacing w:after="140" w:line="288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48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48B4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13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Henrique Cruz Mota</cp:lastModifiedBy>
  <cp:revision>3</cp:revision>
  <cp:lastPrinted>2021-11-10T18:44:00Z</cp:lastPrinted>
  <dcterms:created xsi:type="dcterms:W3CDTF">2021-11-10T18:44:00Z</dcterms:created>
  <dcterms:modified xsi:type="dcterms:W3CDTF">2021-11-10T18:51:00Z</dcterms:modified>
</cp:coreProperties>
</file>